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E-4589/2016 vom 12. Juli 2017</w:t>
      </w:r>
    </w:p>
    <w:p>
      <w:r>
        <w:t>Bundesverwaltungsgericht, 2017-07-12, DE</w:t>
      </w:r>
    </w:p>
    <w:p>
      <w:r>
        <w:rPr>
          <w:b/>
        </w:rPr>
        <w:t xml:space="preserve">Quelle: </w:t>
      </w:r>
      <w:r>
        <w:t>https://mcp.opencaselaw.ch/entscheid/bvger_E-4589_2016</w:t>
      </w:r>
    </w:p>
    <w:p>
      <w:r>
        <w:t>FR: TAF E-4589/2016 du 12 juillet 2017</w:t>
      </w:r>
    </w:p>
    <w:p>
      <w:r>
        <w:t>IT: TAF E-4589/2016 del 12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Zürich kommt die Testphasenverordnung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zum heutigen Zeitpunkt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3.3</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w:t>
      </w:r>
    </w:p>
    <w:p>
      <w:r>
        <w:rPr>
          <w:b/>
        </w:rPr>
        <w:t>E. 3.4</w:t>
      </w:r>
    </w:p>
    <w:p>
      <w:r>
        <w:t>Im Lichte von Art. 3 Abs. 2 Dublin-III-VO ist namentlich zu prüfen, ob es wesentliche Gründe für die Annahme gibt, das Asylverfahren und die Aufnahmebedingungen für Asylsuchende in Ungarn würden systemische Schwachstellen aufweisen, welche eine Gefahr einer unmenschlichen oder entwürdigenden Behandlung im Sinne des Art. 4 der Charta der Grundrechte der Europäischen Union (2012/C 326/02) mit sich bringen und welche die grundsätzliche Zuständigkeit Ungarns im Sinne von Art. 3 Abs. 1 Dublin-III-VO durchbrechen würden.</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zahlreiche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[als Referenzurteil publiziert]).</w:t>
      </w:r>
    </w:p>
    <w:p>
      <w:r>
        <w:rPr>
          <w:b/>
        </w:rPr>
        <w:t>E. 4.2</w:t>
      </w:r>
    </w:p>
    <w:p>
      <w:r>
        <w:t>Mit derselben Begründung, wie sie vorstehend dargelegt wurde, ist es dem Gericht vorliegend nicht möglich, die Vorbringen in der Beschwerde vom 26. Juli 2016 abschliessend zu beurteilen. Die angefochtene Verfügung ist folglich aufzuheben und die Sache zur vollständigen Sachverhaltsfeststellung sowie zur neuen Entscheidung an die Vorinstanz zurückzuweisen. Die Beschwerde ist demnach gutzuheissen, soweit die Aufhebung der vorinstanzlichen Verfügung beantragt wurde.</w:t>
      </w:r>
    </w:p>
    <w:p>
      <w:r>
        <w:rPr>
          <w:b/>
        </w:rPr>
        <w:t>E. 5.1</w:t>
      </w:r>
    </w:p>
    <w:p>
      <w:r>
        <w:t>Bei diesem Ausgang des Verfahrens sind keine Verfahrenskosten aufzuerlegen (Art. 63 Abs. 1 und 2 VwVG).</w:t>
      </w:r>
    </w:p>
    <w:p>
      <w:r>
        <w:rPr>
          <w:b/>
        </w:rPr>
        <w:t>E. 5.2</w:t>
      </w:r>
    </w:p>
    <w:p>
      <w:r>
        <w:t>Eine Parteientschädigung ist nicht geschuldet. Dass der Beschwerdeführer mit Verfügung des SEM vom 20. April 2016 dem Kanton Zürich zugewiesen worden ist, ändert nichts daran, dass sein erstinstanzliches Asylverfahren durch das SEM als beschleunigtes Verfahren gemäss Art. 17 TestV geführt und mit Verfügung des SEM vom 19. Juli 2016 erstinstanzlich abgeschlossen worden ist. Für einen Wechsel vom beschleunigten Verfahren in das Verfahren ausserhalb der Testphase ist nach Abschluss des erstinstanzlichen Verfahrens kein Raum. Die Kosten der Rechtsvertretung, die im beschleunigten Verfahren anfallen, sind im Rahmen der mit dem Leistungserbringer vertraglich festgelegten Pauschale für die Abgeltung der Verwaltungs- und Personalkosten (Art. 28 Abs. 3 Bstn. a und b i.V.m. Art. 28 Abs. 1 Bst. d TestV) abgedeckt (vgl. Entscheid des BVGer D-2691/2016 vom 14. Juni 2017 E. 9).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