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E-4587/2015 vom 29. Juli 2015</w:t>
      </w:r>
    </w:p>
    <w:p>
      <w:r>
        <w:t>Bundesverwaltungsgericht, 2015-07-29, DE</w:t>
      </w:r>
    </w:p>
    <w:p>
      <w:r>
        <w:rPr>
          <w:b/>
        </w:rPr>
        <w:t xml:space="preserve">Quelle: </w:t>
      </w:r>
      <w:r>
        <w:t>https://mcp.opencaselaw.ch/entscheid/bvger_E-4587_2015</w:t>
      </w:r>
    </w:p>
    <w:p>
      <w:r>
        <w:t>FR: TAF E-4587/2015 du 29 juillet 2015</w:t>
      </w:r>
    </w:p>
    <w:p>
      <w:r>
        <w:t>IT: TAF E-4587/2015 del 29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Der Zeitpunkt der Eröffnung der angefochtenen Verfügung steht mangels einer Empfangsbestätigung nicht fest. Aufgrund der zeitlichen Umstände sowie angesichts dessen, dass die Beweislast für die Zustellung an die Partei der eröffnenden Behörde obliegt (vgl. André Moser/Michael Beusch/Lorenz Kneubühler, Prozessieren vor dem Bundesverwaltungsgericht, 2. Aufl., 2013, S. 76 Rz. 2.112), ist zugunsten der Beschwerdeführerin von der Rechtzeitigkeit ihrer Rechtsmitteleingabe auszugehen. Die Beschwer­deführerin hat am Verfahren vor der Vorinstanz teilgenommen, ist durch die angefochtene Verfügung besonders berührt und hat ein schutzwürdiges Interesse an deren Aufhebung beziehungsweise Änderung; sie ist daher zur Einreichung der Beschwerde legitimiert. Auf die frist- und formgerechte Beschwerde ist somit einzutreten (Art. 105 und Art. 108 Abs. 2 AsylG, Art. 48 Abs. 1 und Art. 52 Abs. 1 VwVG).</w:t>
      </w:r>
    </w:p>
    <w:p>
      <w:r>
        <w:rPr>
          <w:b/>
        </w:rPr>
        <w:t>E. 2</w:t>
      </w:r>
    </w:p>
    <w:p>
      <w:r>
        <w:t>Im Asylbereich richten sich die Kognition des Bundesverwaltungsgerichts und die zulässigen Rügen nach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der Beschwerde sei die aufschiebende Wirkung einzuräumen, sowie das Ersuchen um Verzicht auf die Erhebung eines Kostenvorschusses werden mit dem vorliegenden Entscheid in der Sache gegenstandslos.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(Art. 22 Abs. 1 Dublin-III-VO), auf das Asylgesuch nicht ein.</w:t>
      </w:r>
    </w:p>
    <w:p>
      <w:r>
        <w:rPr>
          <w:b/>
        </w:rPr>
        <w:t>E. 5.2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Besitzt der Antragsteller ein gültiges Visum, so ist grundsätzlich der Mitgliedstaat, der das Visum erteilt hat, für die Prüfung des Antrags auf internationalen Schutz zuständig (Art. 12 Abs. 2 Dublin-III-VO). Kann kein Mitgliedstaat gemäss diesen Kriterien bestimmt werden, ist derjenige Staat zuständig, in welchem das erste Asylgesuch gestellt wurde (Art. 3 Abs. 2 Satz 1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5.4</w:t>
      </w:r>
    </w:p>
    <w:p>
      <w:r>
        <w:t>Der nach dieser Verordnung zuständige Mitgliedstaat ist verpflichtet, einen Antragsteller, der in einem anderen Mitgliedstaat einen Antrag gestellt hat, nach Massgabe der Artikel 21, 22 und 29 aufzunehmen (Art. 18 Abs. 1 Bst. a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Beschwerdeführerin gab im Rahmen der BzP an, mit einem italienischen Schengenvisum für die Teilnahme einer (...) legal nach Italien eingereist zu sein. Im Reisepass der Beschwerdeführerin befindet sich denn auch ein von den italienischen Behörde ausgestelltes Visum für den Schengen-Raum mit Gültigkeit vom (...). Die italienischen Behörden haben dem Gesuch des SEM um Übernahme der Beschwerdeführerin gestützt auf Art. 12 Abs. 2 Dublin-III-VO am 10. Juli 2015 zugestimmt. Die Vorinstanz hat Italien demnach unter dem Aspekt der Rangfolge der Kriterien zu Recht als zuständig für die Durchführung des Asylverfahrens der Beschwerdeführerin erachtet. Die Beschwerdeführerin bestreitet die grundsätzliche Zuständigkeit Italiens denn auch nicht.</w:t>
      </w:r>
    </w:p>
    <w:p>
      <w:r>
        <w:rPr>
          <w:b/>
        </w:rPr>
        <w:t>E. 6.2</w:t>
      </w:r>
    </w:p>
    <w:p>
      <w:r>
        <w:t>Im Lichte von Art. 3 Abs. 2 Dublin-III-VO ist zu prüfen, ob es wesentliche Gründe für die Annahme gibt, die Beschwerdeführerin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6.2.1</w:t>
      </w:r>
    </w:p>
    <w:p>
      <w:r>
        <w:t>Vorab ist festzuhalten, dass Italien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es bestehen keine konkreten Hinweise dafür, dass sich Italien im konkreten Fall nicht an die daraus resultierenden Verpflichtungen halten würde.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6.2.2</w:t>
      </w:r>
    </w:p>
    <w:p>
      <w:r>
        <w:t>Im vorliegenden Einzelfall sind den Akten keine Gründe für die Annahme zu entnehmen, Italien werde der Beschwerdeführerin kein ausreichendes Asylverfahren zukommen lassen, zumal sie ein solches bisher nicht in Anspruch genommen hat und diesbezüglich keine Einwände vorbringt. Darüber hinaus ist insbesondere nicht ersichtlich, dass Italien den Grundsatz des Non-Refoulement missachten und sie zur Ausreise in ein Land zwingen würde, in dem ihr Leib, ihr Leben oder ihre Freiheit aus einem Grund nach Art. 3 Abs. 1 AsylG gefährdet wäre oder in dem sie Gefahr laufen würde, zur Ausreise in ein solches Land gezwungen zu werden.</w:t>
      </w:r>
    </w:p>
    <w:p>
      <w:r>
        <w:rPr>
          <w:b/>
        </w:rPr>
        <w:t>E. 6.2.3</w:t>
      </w:r>
    </w:p>
    <w:p>
      <w:r>
        <w:t>Was die geltend gemachten gesundheitlichen Probleme betrifft, ist nicht ersichtlich, inwiefern die Beschwerdeführerin in Italien keinen Zugang zu den für sie notwendigen Medikamenten haben könnte. So liegen keine Hinweise vor, wonach Italien der Beschwerdeführerin eine adäquate medizinische Behandlung verweigern würde, zumal sie erst auf Beschwerdeebene geltend macht, die medizinische Versorgung in Italien sei nicht gewährleistet und im Rahmen des rechtlichen Gehörs in der BzP zu einer allfälligen Zuständigkeit Italiens als einzigen Grund noch angab, sie wolle in der Schweiz bleiben, da sie hier einen Freund habe, der ihr bei der Arbeitssuche behilflich sein könne, wogegen sie in Italien niemanden habe. Dass sie allenfalls Schwierigkeiten haben würde, (...) zu erhalten, hat sie trotz ihres mehrtägigen Aufenthalts in Italien nicht erwähnt. Davon ist im vorliegenden Fall auch nicht auszugehen, hat das SEM doch zu Recht darauf hingewiesen, dass Italien zur Behandlung des vorgebrachten Krankheitsbildes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Entsprechend schlägt auch die Argumentation der Beschwerdeführerin, wonach die Vorinstanz keine spezifischen Garantien, dass sie eine medizinische Betreuung in Italien erhalten werde, eingeholt habe, fehl, liegt doch vorliegend offensichtlich keine Konstellation im Sinne der EGMR-Rechtsprechung nach den Entscheiden A.S. vs. Schweiz oder Tarakhel vs. Schweiz vor (vgl. E. 6.2.1). Dagegen haben die schweizerischen Behörden, die mit dem Vollzug der angefochten Verfügung beauftragt sind, den medizinischen Umständen bei der Bestimmung der konkreten Modalitäten der Überstellung Rechnung zu tragen, was sie in der angefochtenen Verfügung bereits ankündigten, und die italienischen Behörden vorgängig in geeigneter Weise über die medizinische Umstände der Beschwerdeführerin zu informieren, worauf sie bereits hingewiesen haben (vgl. Art. 31 f. Dublin-III-VO). Ergänzend ist das SEM darauf hinzuweisen, dass die italienischen Behörden darum ersuchen, ihnen medizinisch relevante Informationen mindestens 10 Tage vor der Überstellung mitzuteilen (vgl. Antwortschreiben des italienischen Dublin-Büros vom 10. Juli 2015).</w:t>
      </w:r>
    </w:p>
    <w:p>
      <w:r>
        <w:rPr>
          <w:b/>
        </w:rPr>
        <w:t>E. 6.3</w:t>
      </w:r>
    </w:p>
    <w:p>
      <w:r>
        <w:t>Was schliesslich die Ermessensklausel von Art. 17 Abs. 1 Dublin-III- VO betrifft, so ist diese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Urteil des Bundesverwaltungsgerichts E-641/2014 vom 13. März 2015, zur Publikation vorgesehen). Das Bundesverwaltungsgericht greift nur ein, wenn das Staatsekretariat das ihm eingeräumte Ermessen über- beziehungsweise unterschreitet oder missbraucht und damit Bundesrecht verletzt. Das ist vorliegend, wo das SEM die individuellen Vorbringen der Beschwerdeführerin hinreichend geprüft hat, nicht der Fall. Abschliessend und hinsichtlich des Vorbringens der Beschwerdeführerin, sie möchte in der Schweiz bleiben, weil sie hier einen Freund habe, der ihr bei der Arbeitssuche behilflich sein könne, ist festzuhalten, dass die Dublin-III-VO den Schutzsuchenden kein Recht einräumt, den ihren Antrag prüfenden Staat selber auszuwählen (vgl. BVGE 2010/45 E. 8.3).</w:t>
      </w:r>
    </w:p>
    <w:p>
      <w:r>
        <w:rPr>
          <w:b/>
        </w:rPr>
        <w:t>E. 7</w:t>
      </w:r>
    </w:p>
    <w:p>
      <w:r>
        <w:t>Die Vorinstanz ist nach dem Gesagten zu Recht in Anwendung von Art. 31a Abs. 1 Bst. b AsylG auf das Asylgesuch der Beschwerdeführerin nicht eingetreten und hat ihre Überstellung nach Italien angeordnet. Schliesslich ist festzuhalten, dass, da das Fehlen von Überstellungshindernissen bereits Voraussetzung des Nichteintretensentscheides gemäss Art. 31a Abs. 1 Bst. b AsylG ist (vgl. BVGE 2010/45 E. 10), allfällige Vollzugshindernisse gemäss Art. 83 Abs. 3 und 4 AuG (SR 142.20) - anders als das SEM dies (von der Systematik her) tut - nicht mehr zu prüfen sind.</w:t>
      </w:r>
    </w:p>
    <w:p>
      <w:r>
        <w:rPr>
          <w:b/>
        </w:rPr>
        <w:t>E. 8</w:t>
      </w:r>
    </w:p>
    <w:p>
      <w:r>
        <w:t>Aus den Erwägungen ergibt sich, dass sich die angefochtene Verfügung als rechtmässig erweist und die Beschwerde abzuweisen ist.</w:t>
      </w:r>
    </w:p>
    <w:p>
      <w:r>
        <w:rPr>
          <w:b/>
        </w:rPr>
        <w:t>E. 9</w:t>
      </w:r>
    </w:p>
    <w:p>
      <w:r>
        <w:t>Bei diesem Ausgang des Verfahrens wären die Kosten grundsätzlich der Beschwerdeführerin aufzuerlegen (Art. 63 Abs. 1 VwVG). Es verbleibt jedoch ihr Gesuch um Gewährung der unentgeltlichen Prozessführung gemäss Art. 65 Abs. 1 VwVG zu beurteilen. Dieses ist unabhängig von der nicht belegten Bedürftigkeit abzuweisen, da sich die Beschwerdebegehren aus den erwogenen Gründen bereits im Zeitpunkt der Einreichung des Gesuches als aussichtslos im Sinne des Gesetzes erwiesen haben, wobei die Beschwerdeführerin den vorinstanzlichen Erwägungen offensichtlich nichts Gewichtiges entgegenhielt. Die Verfahrenskosten sind demzufolge von der Beschwerdeführerin zu tragen. 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