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E-4583/2023 vom 16. August 2023</w:t>
      </w:r>
    </w:p>
    <w:p>
      <w:r>
        <w:t>Bundesverwaltungsgericht, 2023-08-16, FR</w:t>
      </w:r>
    </w:p>
    <w:p>
      <w:r>
        <w:rPr>
          <w:b/>
        </w:rPr>
        <w:t xml:space="preserve">Quelle: </w:t>
      </w:r>
      <w:r>
        <w:t>https://mcp.opencaselaw.ch/entscheid/bvger_E-4583_2023_d20230816</w:t>
      </w:r>
    </w:p>
    <w:p>
      <w:r>
        <w:t>FR: TAF E-4583/2023 du 16 août 2023</w:t>
      </w:r>
    </w:p>
    <w:p>
      <w:r>
        <w:t>IT: TAF E-4583/2023 del 16 agosto 2023</w:t>
      </w:r>
    </w:p>
    <w:p>
      <w:pPr>
        <w:pStyle w:val="Heading2"/>
      </w:pPr>
      <w:r>
        <w:t>Regeste</w:t>
      </w:r>
    </w:p>
    <w:p>
      <w:r>
        <w:t>Asile (non-entr&amp;eacute;e en mati&amp;egrave;re) et renvoi (proc&amp;eacute;dure Dublin - art. 31a al. 1 let. b LAsi) | Asile (non-entrée en matière) et renvoi (procédure Dublin); décision du SEM du 16 août 2023</w:t>
      </w:r>
    </w:p>
    <w:p>
      <w:pPr>
        <w:pStyle w:val="Heading2"/>
      </w:pPr>
      <w:r>
        <w:t>Erwägungen</w:t>
      </w:r>
    </w:p>
    <w:p>
      <w:r>
        <w:rPr>
          <w:b/>
        </w:rPr>
        <w:t>E. 24</w:t>
      </w:r>
    </w:p>
    <w:p>
      <w:r>
        <w:t>août 2023,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w:t>
      </w:r>
    </w:p>
    <w:p>
      <w:r>
        <w:t>E-4583/2023 Page 5 que la procédure de détermination de l’Etat responsable est engagée aussitôt qu’une demande d’asile a été déposée pour la première fois dans un Etat membre (cf. art. 20 par. 1 du règlement Dublin III), que, dans une procédure de reprise en charge (anglais : « take back »),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l’occurrence, les investigations entreprises le 26 juin 2023 par le SEM ont permis d’établir, après consultation de l’unité centrale du système européen « Eurodac », que le recourant avait déposé une demande d’asile en Croatie, le (…) juin 2023, que, le 19 juillet 2023, le SEM a dès lors soumis aux autorités croates compétentes, dans le délai fixé à l’art. 23 par. 2 du règlement Dublin III, une requête aux fins de reprise en charge fondée sur l’art. 18 par. 1 let. b du même règlement, que le 2 août 2023, soit dans le délai de l’art. 25 par. 1 du règlement Dublin III, lesdites autorités ont expressément accepté de reprendre en charge le recourant, précisant qu’elles allaient poursuivre le processus de détermination de leur responsabilité, sur la base de l’art. 20 par. 5 du règlement Dublin III, que la portée de cette dernière disposition a déjà fait l’objet de plusieurs arrêts du Tribunal (cf. arrêts F-3303/2023 du 16 juin 2023 consid. 3.4 s. ; F-1875/2023 du 13 avril 2023 consid. 4.3 et réf. cit.), que dans la mesure où le dépôt par le recourant d’une demande d’asile en Croatie a été confirmé par les données enregistrées dans le système « Eurodac » et où l’intéressé n’a pas allégué avoir quitté le territoire des Etats membres, ni obtenu de titre de séjour de la part d’un autre Etat</w:t>
      </w:r>
    </w:p>
    <w:p>
      <w:r>
        <w:t>E-4583/2023 Page 6 membre dans l’intervalle, c’est à juste titre que le SEM s’est fondé sur cette disposition pour admettre la compétence de la Croatie, que cet Etat a ainsi reconnu sa responsabilité pour traiter la demande d’asile du recourant, point qui n’est du reste pas contesté,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w:t>
      </w:r>
    </w:p>
    <w:p>
      <w:r>
        <w:t>E-4583/2023 Page 7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(cf. ATAF 2011/35 consid. 4.11 ; 2010/45 consid. 7.4.2)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et a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 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w:t>
      </w:r>
    </w:p>
    <w:p>
      <w:r>
        <w:t>E-4583/2023 Page 8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qu’en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le recourant a déclaré, lors de son entretien « Dublin », avoir passé deux nuits en Croatie ; qu’après son arrivée, il aurait été transporté par les autorités dans une ville inconnue, dans un endroit ressemblant à une prison ; que, là-bas, il aurait été violenté par la police croate, laquelle l’aurait également obligé de déposer ses empreintes digitales contre son gré ; qu’il aurait ensuite été amené dans un poste de police où les autorités lui auraient remis un papier lui ordonnant de quitter le territoire croate dans les plus brefs délais ; qu’il se serait ensuite volontairement débarrassé dudit document et aurait quitté la Croatie pour se rendre en Slovénie, puis en Italie, avant de finalement rejoindre la Suisse, qu’interrogé sur ses objections à son transfert en Croatie, il a fait valoir qu’il ne souhaitait pas retourner dans cet Etat « à cause du comportement des autorités » et parce qu’il ne s’agissait « pas [d’]un pays fait pour les migrants », où il est possible de vivre, qu’au stade du recours, il réitère en substance ses déclarations portant sur les maltraitances qu’il aurait subies de la part des autorités croates, ajoutant que celles-ci sont constitutives d’une violation de l’art. 3 CEDH ; qu’il demande en conséquence l’application de la clause de souveraineté par la Suisse,</w:t>
      </w:r>
    </w:p>
    <w:p>
      <w:r>
        <w:t>E-4583/2023 Page 9 que,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recourant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que, cela étant dit, l'intéressé n’a fourni aucun élément concret susceptible de renverser la présomption selon laquelle les autorités croates appliquent le principe de non-refoulement ainsi que les dispositions contenues dans la directive Procédure, que rien ne permet en effet dans son cas de considérer que les autorités croates refuseraient de mener à terme sa procédure d’asile, étant précisé qu’il a quitté cet Etat après seulement quelques jours ; qu’à cet égard, il y a lieu de rappeler que dites autorités ont expressément accepté la requête de prise en charge du SEM (cf. communication du 2 août 2023),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qu'à ce titre, il reviendra toutefois au recourant d'entreprendre les démarches nécessaires à l'ouverture (ou à la réouverture) d'une procédure d'asile auprès des autorités compétentes, à son arrivée sur le territoire croate, que, s'agissant des violences dont l’intéressé aurait été victime en Croatie, le Tribunal constate qu'aucune pièce versée au dossier de la cause, notamment médicale, ne vient étayer les allégations de l'intéressé à ce sujet, qui demeurent dès lors à l'état d'allégués ; que, sans exclure le fait que le recourant ait pu être la victime de mauvais traitements en Croatie et que son bref séjour dans ce pays ait pu constituer une expérience</w:t>
      </w:r>
    </w:p>
    <w:p>
      <w:r>
        <w:t>E-4583/2023 Page 10 traumatisante, le Tribunal ne dispose pour autant pas des éléments nécessaires pour conclure qu'il serait soumis à des traitements inhumains et dégradants à son retour en Croatie dans le cadre d'une procédure Dublin, que, s'il a certes exposé que les conditions d'accueil en Croatie avaient été difficiles et que la police l'avait maltraité, le recourant – qui, faut-il le rappeler, n’est resté que très peu de temps en Croatie – n'a pas démontré que lesdites conditions d'accueil revêtiraient un tel degré de pénibilité et de gravité qu’elles seraient constitutives d’un traitement contraire à l'art. 3 CEDH, respectivement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y a lieu de relever, à ce propos, que le SEM s'est fondé tant sur le récent arrêt de référence E-1488/2020 du Tribunal précité que sur le résultat des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de la part des autorités croates ou de tiers ; que le Tribunal considère pouvoir se fier, en l'état et s'agissant d'une procédure de reprise en charge Dublin, aux informations recueillies par l'Ambassade de Suisse, telles que décrites dans la décision du SEM du 16 août 2023, qu’ainsi, comme l’autorité de première instance l’a également mentionné dans la décision entreprise, si le recourant devait estimer que la Croatie ne respecte pas les directives européennes en matière d'asile ou porte atteinte à ses droits fondamentaux, il lui appartiendrait de faire valoir ses droits directement auprès des autorités de ce pays et éventuellement de s’adresser, en cas de besoin, à la CourEDH, qu’il lui sera également possible de s’adresser aux organisations caritatives œuvrant sur place (cf. arrêt du Tribunal E-2755/2022 du 8 septembre 2022 consid. 5.4 et jurisp. cit.) pour qu’elles l’aident, en cas de nécessité, à faire valoir ses droits auprès des autorités croates,</w:t>
      </w:r>
    </w:p>
    <w:p>
      <w:r>
        <w:t>E-4583/2023 Page 11 que, par ailleurs, l’intéressé ne fait pas valoir qu’il souffre actuellement de problèmes de santé particuliers, que, lors de son entretien « Dublin » du 19 juillet 2023, il a indiqué se sentir bien physiquement et psychiquement, même si ses enfants lui manquaient, qu’il n’a produit aucun document médical, ni devant le SEM, ni à l’appui de son recours, qu’il ressort par ailleurs de la « lettre d’introduction Medic-Help » datée du 21 août 2023, et figurant au dossier du SEM, qu’il ne s’est pas présenté à son premier (et unique) rendez-vous médical, fixé en raison de cauchemars et de « sommeil agité », que l’état de santé de l’intéressé ne saurait donc s’opposer à son transfert vers la Croatie,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du recourant en Croatie est conforme aux engagements de droit international de la Suisse,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w:t>
      </w:r>
    </w:p>
    <w:p>
      <w:r>
        <w:t>E-4583/2023 Page 12 et a prononcé son transfert de la Suisse vers la Croatie, en application de l'art. 44 LAsi, aucune exception à la règle générale du renvoi n'étant réalisée (cf. art. 32 OA 1),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les requêtes d’octroi de l’effet suspensif et d’exemption du versement d'une avance de frais sont sans objet, les mesures superprovisonnelles ordonnées le 25 août 2023 devenant pour le reste caduques, que sa demande d’assistance judiciaire totale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E-4583/2023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