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E-4580/2008 vom 26. Januar 2009</w:t>
      </w:r>
    </w:p>
    <w:p>
      <w:r>
        <w:t>Bundesverwaltungsgericht, 2009-01-26, DE</w:t>
      </w:r>
    </w:p>
    <w:p>
      <w:r>
        <w:rPr>
          <w:b/>
        </w:rPr>
        <w:t xml:space="preserve">Quelle: </w:t>
      </w:r>
      <w:r>
        <w:t>https://mcp.opencaselaw.ch/entscheid/bvger_E-4580_2008</w:t>
      </w:r>
    </w:p>
    <w:p>
      <w:r>
        <w:t>FR: TAF E-4580/2008 du 26 janvier 2009</w:t>
      </w:r>
    </w:p>
    <w:p>
      <w:r>
        <w:t>IT: TAF E-4580/2008 del 26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Art. 50 und 52 VwVG). Auf die Beschwerde ist einzutreten. Soweit mit der Eingabe vom 31. Juli 2008 um wiedererwägungsweisen Verzicht auf die Erhebung eines Kostenvorschusses ersucht wird, ist die Gegenstandslosigkeit dieses Begehrens infolge Leistung des Kostenvorschusses am 30. Juli 2008 festzustellen.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der Beschwerdeführerin ab, da ihre Vorbringen den Anforderungen an die Glaubhaftigkeit gemäss Art. 7 AsylG nicht zu genügen vermöchten, weshalb ihre Asylrelevanz nicht zu prüfen sei. Der Wahrheitsgehalt der geltend gemachten Verfolgung sei schon deshalb zu bezweifeln, da die Parteien des geltend gemachten Konflikts in C._______ die lokalen Stammesführer und die Zentralregierung in Islamabad seien und sich dementsprechend die Unruhen insbesondere gegen die Zentralregierung und ihre Exponenten in C._______ gerichtet hätten. Zu Letzteren sei die Beschwerdeführerin umso weniger zu rechnen, als es sich bei der G._______ um eine unbedeutende Gruppierung mit entsprechend wenig Einfluss handle. Auch ihr Engagement für F._______berge kaum Störpotenzial gegenüber der Drogenmafia. Sodann erscheine das Vorbringen der Beschwerdeführerin anlässlich der direkten Anhörung, wonach sie im Februar 2008 persönlich von einer Person angesprochen und bedroht worden sei, nachgeschoben, zumal sie den Vorfall bei der Erstbefragung mit keinem Wort erwähnt habe. Überdies habe die Beschwerdeführerin angegeben, ihr Bruder habe sie überall hin begleitet, weshalb sich eine weitere Unstimmigkeit daraus ergebe, dass dieser in seinem Asylverfahren dieses letzte entscheidende Ereignis als blosse telefonische Bedrohung angegeben habe. Schliesslich widersprächen verschiedene Ausführungen der Beschwerdeführerin der allgemeinen Erfahrung respektive der Logik des Handelns. So falle etwa ins Auge, dass die geltend gemachten Drohanrufe trotz Nichtbefolgung keine weiteren Konsequenzen nach sich gezogen hätten, obschon die Beschwerdeführerin dauerhaft an der selben Adresse gewohnt habe, was ihren Gegnern die Möglichkeit eröffnet hätte, sie ohne Aufwand weitergehend zu belangen. Auch sei angesichts der geltend gemachten Todesdrohungen befremdlich, dass die Beschwerdeführerin aus dem Haus gegangen sein wolle, nach dem ein Anrufer ihr mitgeteilt habe, er stehe vor demselben.</w:t>
      </w:r>
    </w:p>
    <w:p>
      <w:r>
        <w:rPr>
          <w:b/>
        </w:rPr>
        <w:t>E. 4.2</w:t>
      </w:r>
    </w:p>
    <w:p>
      <w:r>
        <w:t>Aus der Rechtsmitteleingabe ergibt sich als Rüge die Verletzung von Bundesrecht, in zu Unrecht auf Unglaubhaftigkeit der Asylvorbringen geschlossen worden sei. Was die vom BFM festgestellten Ungereimtheiten hinsichtlich der angeblichen persönlichen Bedrohung anbelangt, kann weitgehend auf die Ausführungen der Vorinstanz verwiesen werden. In der Tat gab die Beschwerdeführerin bei der Erstbefragung als Ausreisegründe einen Bombenanschlag auf das Haus des Präsidenten der BPI, die Ermordung des SWADT-Prädidenten Bugti sowie mehrere Drohungen per Mobiltelefon an (A2 S. 4 f.), während sie erst an der direkten Anhörung vorbrachte, sie sei Mitte Februar 2008 von einer unbekannten Person auf offener Strasse bedroht worden (A6 S. 4 f.). Die anlässlich der direkten Anhörung auf Vorhalt sowie in der Beschwerdeschrift angebrachten Erklärungs- und Entkräftungsversuche, wonach sie nicht ausdrücklich nach persönlichen Bedrohungen gefragt worden sei (A6 S. 5) und man sie bei der Erstbefragung aufgefordert habe, nur in groben Zügen zu erzählen, vermögen nicht zu überzeugen. Dass sämtliche ausreiserelevanten Ereignisse bereits anlässlich der Erstbefragung anzugeben sind, ergibt sich schon aus der Beschwerdeführerin obliegenden Mitwirkungspflicht, zumal sie dort ausdrücklich aufgefordert wurde, ihre Ausreisegründe darzulegen (A2 S. 4), und hinreichend Gelegenheit erhielt, Ergänzungen anzubringen (A2 S. 5). Dabei ist nicht nachvollziehbar, weshalb die Beschwerdeführerin die Bedrohung mittels anonymer Telefonanrufe vorgebracht, eine tatsächlich erfolgte Bedrohung von Angesicht zu Angesicht jedoch verschwiegen haben sollte, zumal letztere regelmässig eine ungleich intensivere, unmittelbare Bedrohungslage schafft. Die erstmalige Erwähnung einer persönlichen Bedrohung auf offener Strasse bei der direkten Anhörung erscheint damit als nachgeschobene Sachverhaltsanpassung, welche der Beschwerdeführerin nicht geglaubt werden kann. In Ergänzung der zutreffenden Erwägungen des BFM betreffend die Asylvorbringen des Bruders ist im Übrigen darauf hinzuweisen, dass dieser als fluchtauslösendes Ereignis angegeben hat, die SWADT-Präsidentin Naila Qadri habe ihn und seine Schwester aufgefordert, das Land zu verlassen. Gemäss der zutreffenden Feststellung des BFM kann vor dem Hintergrund der allgemeinen Unruhen nach dem Tod Bugtis zwar nicht gänzlich ausgeschlossen werden, dass die Beschwerdeführerin über einen gewissen Zeitraum hinweg telefonisch bedroht worden sein könnte. Indessen ist anzuzweifeln, dass sie darüber hinaus gehenden Nachteilen ausgesetzt gewesen wäre. Zunächst widerspricht es jeglicher Logik des Handelns, dass die Beschwerdeführerin im Nachgang der telefonischen Todesdrohungen weder ihre Wohnadresse noch zumindest die Telefonnummer geändert haben will, zumal es für ihre Gegner so ein Leichtes gewesen wäre, sie weitergehend zu belangen. Dass bei dieser Ausgangslage und nach dem Scheitern der geltend gemachten Einschüchterungsversuche weitere Behelligungen offenbar gänzlich ausgeblieben sind, lässt die Annahme eines ernsthaften Verfolgungsinteresses unrealistisch erscheinen. Ein weiterer Hinweis darauf, dass die Vorbringen konstruiert sind, ergibt sich aus der Darstellung, wonach die Beschwerdeführerin auf eine nächtliche Telefondrohung das Haus verlassen haben will, um nachzusehen, wer dort sei (A6 S. 9). Diese Reaktion kann angesichts der geltend gemachten Todesdrohungen nicht nachvollzogen werden. Im Ergebnis ist mit dem BFM davon auszugehen, dass die Beschwerdeführerin längere Zeit vor ihrer Ausreise unbehelligt geblieben ist. Es ergibt sich aus den Akten kein Hinweis auf einen plausiblen Ausreiseanlass, vom dem die Beschwerdeführerin persönlich betroffen war und der nicht auf die allgemeine Situation in C._______ zurückzuführen wäre (vgl. hierzu die nachstehenden Erwägungen). An dieser Erkenntnis vermögen auch die mit Eingabe vom 31. Juli 2008 zu den Akten gereichten Dokumente nichts zu ändern, zumal sie die geltend gemachte Verfolgung nicht zu beweisen vermögen.</w:t>
      </w:r>
    </w:p>
    <w:p>
      <w:r>
        <w:rPr>
          <w:b/>
        </w:rPr>
        <w:t>E. 4.3</w:t>
      </w:r>
    </w:p>
    <w:p>
      <w:r>
        <w:t>Hinsichtlich der allgemeinen Ausführungen in der Beschwerdeschrift, wonach die Situation in C._______ sehr unruhig sei und die Punjabis immer wieder zwischen die Fronten gerieten, ist festzuhalten, dass für die Begründetheit eines Asylgesuchs das Erfordernis einer gezielten und genügend intensiven Verfolgung besteht und es nicht ausreicht, auf die allgemeine schlechte Menschenrechtslage im Herkunftsland oder die systematische Benachteiligung der eigenen Volksgruppe hinzuweisen. Es ist deshalb nachfolgend zu prüfen, ob die allgemeine Situation der Punjabis in C._______ respektive Pakistan zur Annahme einer Kollektivverfolgung führt. Die Anforderungen an die Feststellung einer Kollektivverfolgung sind gemäss Rechtsprechung der Schweizerischen Asylrekurskommission (ARK), die auch für das Bundesverwaltungsgericht Geltung behält, sehr hoch (vgl. dazu Entscheidungen und Mitteilungen der Schweizerischen Asylrekurskommission [EMARK] 1993 Nrn. 9 und 10 betreffend syrisch-orthodoxe Christen in der Türkei [bestätigt in EMARK 1997 Nr. 12]; EMARK 1993 Nr. 20 betreffend Kurden in der Türkei; EMARK 1995 Nr. 1 betreffend Yeziden in der Türkei; EMARK 1995 Nr. 17 betreffend die christlich-assyrische Minderheit in Syrien; EMARK 1996 Nrn. 21 und 22 betreffend Ahmadis in Pakistan [bestätigt in EMARK 2002 Nr. 3]; EMARK 1996 Nr. 23 betreffend Christen in Pakistan; EMARK 1997 Nr. 14 betreffend Muslime in Srebrenica, Bosnien-Herzegowina; EMARK 1998 Nr. 16 betreffend Tutsis in Ruanda; EMARK 2001 Nr. 13 betreffend Roma und Ashkali im Kosovo; EMARK 2006 Nr. 1 betreffend Tibeter in China).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beurteilt werden können (vgl. EMARK 1995 Nr. 1, S. 10 f. mit dortigen Literaturhinweisen; EMARK 2006 Nr. 1, E. 4.3, S. 3f.). Es ist nicht auszuschliessen, dass es in C._______ zu Spannungen zwischen (...) und Punjabi gekommen ist. Indessen sind progromartige Übergriffe gegen die Punjabi nicht bekannt geworden. Eben solche erscheinen schon deshalb äusserst unwahrscheinlich, da die Punjabi über 40% der pakistanischen Bevölkerung stellen und damit die mit Abstand grösste Volksgruppe des Landes sind. Bei einzelnen Übergriffen ist zudem Schutz von der Provinzregierung C._______s erhältlich, da sich diese gegenüber Islamabad loyal verhält. Es bestehen damit keine konkreten Anhaltspunkte, dass die Beschwerdeführerin aufgrund ihrer blossen Volkszugehörigkeit in absehbarer Zukunft Verfolgungsmassnahmen gemäss Art. 3 AsylG zu gewärtigen hätte.</w:t>
      </w:r>
    </w:p>
    <w:p>
      <w:r>
        <w:rPr>
          <w:b/>
        </w:rPr>
        <w:t>E. 4.4</w:t>
      </w:r>
    </w:p>
    <w:p>
      <w:r>
        <w:t>Zusammenfassend folgt, dass die Beschwerdeführerin keine Gründe nach Art. 3 AsylG nachweisen oder glaubhaft machen kann. Das BFM hat sein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des Bundesgesetzes vom 16. Dezember 2005 über die Ausländerinnen und Ausländer [AuG,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Pakistan herrscht zur Zeit weder Krieg, Bürgerkrieg noch liegt eine Situation allgemeiner Gewalt vor. Auch sind keine individuellen Gründe ersichtlich, welche gegen die Zumutbarkeit einer Rückkehr der Beschwerdeführerin nach Pakistan sprechen würden. Die (...)jährige Beschwerdeführerin hat von Geburt an bis zu ihrer Ausreise in B._______ gelebt und verfügt dort über ein dichtes familiäres Beziehungsnetz (A2, S. 2). Zuletzt hat sie als (...) gearbeitet. Die berufliche Wiedereingliederung sollte ihr dementsprechend möglich sein. Zusammenfassend kann somit gesagt werden, dass der Beschwerdeführerin sowohl die soziale und wirtschaftliche Reintegration gelingen sollte. Der Vollzug der Wegweisung erweist sich somit als zumutbar.</w:t>
      </w:r>
    </w:p>
    <w:p>
      <w:r>
        <w:rPr>
          <w:b/>
        </w:rPr>
        <w:t>E. 6.4</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Aufgrund der vorstehenden Erwägungen ergibt sich, dass das Gesuch vom 31. Juli 2008 um wiedererwägungsweise Gewährung der unentgeltlichen Rechtspflege gemäss Art. 65 Abs. 1 VwVG abzuweisen ist, da sich die Beschwerde als aussichtslos darstellte.</w:t>
      </w:r>
    </w:p>
    <w:p>
      <w:r>
        <w:rPr>
          <w:b/>
        </w:rPr>
        <w:t>E. 9</w:t>
      </w:r>
    </w:p>
    <w:p>
      <w:r>
        <w:t>Bei diesem Ausgang des Verfahrens sind die Kosten der Beschwerdeführerin aufzuerlegen (Art. 63 Abs. 1 VwVG), auf insgesamt Fr.600.- festzusetzen (Art. 16 Abs. 1 Bst. a VGG i.V.m. Art. 2 und 3 des Reglements vom 21. Februar 2008 über die Kosten und Entschädigungen vor dem Bundesverwaltungsgericht [VGKE, SR 173.320.2]) und mit dem am 30. Juli 2008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