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E-4578/2011 vom 5. Oktober 2011</w:t>
      </w:r>
    </w:p>
    <w:p>
      <w:r>
        <w:t>Bundesverwaltungsgericht, 2011-10-05, DE</w:t>
      </w:r>
    </w:p>
    <w:p>
      <w:r>
        <w:rPr>
          <w:b/>
        </w:rPr>
        <w:t xml:space="preserve">Quelle: </w:t>
      </w:r>
      <w:r>
        <w:t>https://mcp.opencaselaw.ch/entscheid/bvger_E-4578_2011</w:t>
      </w:r>
    </w:p>
    <w:p>
      <w:r>
        <w:t>FR: TAF E-4578/2011 du 5 octobre 2011</w:t>
      </w:r>
    </w:p>
    <w:p>
      <w:r>
        <w:t>IT: TAF E-4578/2011 del 5 ottobre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 4.1.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4.2. Gestützt auf Art. 111a Abs. 1 AsylG wurde vorliegend auf die Durchführung eines Schriftenwechsels verzichtet.</w:t>
      </w:r>
    </w:p>
    <w:p>
      <w:r>
        <w:rPr>
          <w:b/>
        </w:rPr>
        <w:t>E. 5.1</w:t>
      </w:r>
    </w:p>
    <w:p>
      <w:r>
        <w:t>Gemäss Art. 19 AsylG kann ein Asylgesuch im Ausland bei einer schweizerischen Vertretung gestellt werden, welche es mit einem Bericht an das Bundesamt überweist (Art. 20 Abs. 1AsylG). Die schweizerische Vertretung führt mit der asylsuchenden Person in der Regel eine Befragung durch (Art. 10 Abs. 1 der Asylverordnung 1 vom 11. August 1999 über Verfahrensfragen [AsylV 1, SR142.311]). Ist dies nicht möglich, so wird die asylsuchende Person von der Vertretung aufgefordert, ihre Asylgründe schriftlich festzuhalten (Art. 10 Abs. 2 AsylV 1).</w:t>
      </w:r>
    </w:p>
    <w:p>
      <w:r>
        <w:rPr>
          <w:b/>
        </w:rPr>
        <w:t>E. 5.2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3AsylG).</w:t>
      </w:r>
    </w:p>
    <w:p>
      <w:r>
        <w:rPr>
          <w:b/>
        </w:rPr>
        <w:t>E. 5.3</w:t>
      </w:r>
    </w:p>
    <w:p>
      <w:r>
        <w:t>Das BFM kann ein im Ausland gestelltes Asylgesuch ablehnen, wenn die asylsuchende Person keine Verfolgung glaubhaft machen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5.4</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5.5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6.1</w:t>
      </w:r>
    </w:p>
    <w:p>
      <w:r>
        <w:t>In der angefochtenen Verfügung wird ausgeführt, der Beschwerdeführer mache geltend, er sei von den Paramilitärs zum militärischen Ziel erklärt worden. Indes handle es sich beim Beschwerdeführer nicht um eine landesweit bekannte Persönlichkeit. Es sei daher davon auszugehen, dass die Verfolger ihn nicht an jedem beliebigen Ort in Kolumbien ausfindig machen könnten. Da sich der Beschwerdeführer immer in B._______ aufgehalten habe, könne davon ausgegangen werden, dass für ihn eine innerstaatliche Fluchtalternative bestehe und er sich von den Verfolgern schützen könne. Der Beschwerdeführer bedürfe demnach nicht des Schutzes der Schweizer Behörden. Weiter führt die Vorinstanz aus, das Asylgesuch könne auch gestützt auf Art. 52 Abs. 2 AsylG abgelehnt werden. Gemäss diesem Artikel könne ein Asylgesuch eines sich im Ausland befindenden Ausländers abgelehnt werden, wenn ihm zugemutet werden könne, sich in einem anderen Staat um Aufnahme zu bemühen. Dabei sei das Vorhandensein enger Bindungen zur Schweiz eines der wesentlichen Kriterien, welches zur Erteilung einer Einreisebewilligung führe. Der Beschwerdeführer mache keine besonders nahen Beziehungen zur Schweiz geltend. Unter diesen Umständen sei es ihm zuzumuten, in einem anderen Land um Asylgewährung nachzusuchen, beispielsweise in einem der Nachbarstaaten von Kolumbien. Die meisten Staaten Südamerikas hätten das Abkommens vom 28. Juli 1951 über die Rechtsstellung der Flüchtlinge (FK, SR 0.142.30) ratifiziert und würden sich gemäss den Erkenntnissen des BFM an die damit verbundenen Verpflichtungen halten. So seien beispielsweise die Nachbarstaaten Brasilien, Ecuador, Panama und Peru Vertragsparteien sowohl der FK als auch des betreffenden Zusatzprotokolls vom 31. Januar 1967; Venezuela seinerseits habe das Abkommen selbst nicht ratifiziert, indes das Protokoll. Diese Länder würden über ein eigenes, gesetzlich geregeltes Verfahren zur Anerkennung von Flüchtlingen verfügen. Namentlich Argentinien und Brasilien würden über ein im Allgemeinen formelles und gesichertes Asylverfahren verfügen. Zudem hielten sie sich gemäss den Erkenntnissen des BFM grundsätzlich an das Gebot des Non-Refoulement von Art. 33 FK, auch wenn als Einschränkung habe festgestellt werden müssen, dass es in den Grenzgebieten - insbesondere denjenigen zu Panama und Venezuela - in den letzten Jahren zu unkontrollierten Rückschiebungen durch die Grenzbehörden gekommen sei. Für die praktische Möglichkeit und die Zumutbarkeit der anderweitigen Schutzsuche spreche im weiteren die Möglichkeit der visumsfreien Einreise in sämtliche umliegende Länder Kolumbiens sowie der Umstand, dass jährlich mehrere tausend kolumbianische Staatsangehörige in den Nachbarländern - namentlich in Ecuador - um Asyl ersuchen und dort zu einem beträchtlichen Teil auch als Flüchtlinge anerkannt würden. Diese Staaten würden überdies aus geografischen, sprachlichen und kulturellen Gründen als offensichtlich näherliegend als die Schweiz erscheinen. Hinzu komme, dass das UNHCR in diesen Ländern vor Ort sei und während der ersten Monaten wirtschaftliche Unterstützung an Asylsuchende und Flüchtlinge gewähre. Dem Beschwerdeführer sei es somit zumutbar, sich in einem anderen Staat um Schutz zu bemühen.</w:t>
      </w:r>
    </w:p>
    <w:p>
      <w:r>
        <w:rPr>
          <w:b/>
        </w:rPr>
        <w:t>E. 6.2</w:t>
      </w:r>
    </w:p>
    <w:p>
      <w:r>
        <w:t>In der Rechtsmitteleingabe macht der Beschwerdeführer sinngemäss geltend, das BFM habe ihm zu Unrecht die Einreise nicht bewilligt und ihn zu Unrecht nicht als Flüchtling anerkannt. Das BFM habe seine persönliche Situation sowie den bewaffneten Konflikt, welcher sich über das ganze Land erstrecke, nicht richtig bewertet. Sein Vater, ein einfacher und politisch nicht aktiver Bauer, sei ermordet und seine Familie seinerzeit vertrieben worden. Die Nachbarländer hätten ihm keine Garantie für seinen Schutz angeboten.</w:t>
      </w:r>
    </w:p>
    <w:p>
      <w:r>
        <w:rPr>
          <w:b/>
        </w:rPr>
        <w:t>E. 6.3</w:t>
      </w:r>
    </w:p>
    <w:p>
      <w:r>
        <w:t>Zunächst ist festzuhalten, dass sowohl das BFM als auch das Bundesverwaltungsgericht nicht auschliessen, dass der Beschwerdeführer seitens der Paramilitärs bedroht wurde und noch wird. Indes gelangt das Gericht zum Schluss, dass die Vorinstanz in der angefochtenen Verfügung einerseits zutreffend festgestellt hat, dem Beschwerdeführer würde eine valable innerstaatliche Fluchtalternative offenstehen, weshalb er nicht auf den Schutz der Schweiz angewiesen sei. Andererseits hat es ausführlich dargelegt, dass es dem Beschwerdeführer, entgegen der von ihm vertretenen Ansicht, zumutbar und möglich ist, sich in einem der Nachbarstaaten Kolumbiens um Schutz vor allfälliger Verfolgung zu bemühen. An diesen Feststellungen vermag der Beschwerdeführer mit seinen Ausführungen in der Rechtsmitteleingabe nichts zu ändern. Namentlich legt er nicht substantiiert dar, weshalb ihm eine Ausreise in einen der Nachbarstaaten Kolumbiens nicht zumutbar sein soll. Der sinngemässe Hinweis auf mangelnde finanzielle Mittel genügt jedenfalls nicht. Sodann legt der Beschwerdeführer in der Rechtsmitteleingabe auch nicht dar, inwiefern er einen Bezug zur Schweiz hat. Demnach ist mit der Vorinstanz zu schliessen, dass es ihm zuzumuten ist, in einem anderen Land als der Schweiz um Asylgewährung nachzusuchen. Um diesbezüglich Wiederholungen zu vermeiden, kann vollumfänglich auf die zutreffenden Erwägungen in der angefochtenen Verfügung verwiesen werden.</w:t>
      </w:r>
    </w:p>
    <w:p>
      <w:r>
        <w:rPr>
          <w:b/>
        </w:rPr>
        <w:t>E. 6.4</w:t>
      </w:r>
    </w:p>
    <w:p>
      <w:r>
        <w:t>Zusammenfassend ist festzustellen, dass der Beschwerdeführer weder schutzbedürftig im Sinne von Art. 3 AsylG ist, noch die Anforderungen an eine Aufnahme in der Schweiz gemäss Art. 52 Abs. 2 AsylG erfüllt sind. An diesem Schluss vermögen auch die auf Beschwerdestufe eingereichten Beweismittel nichts zu ändern. Das BFM hat dem Beschwerdeführer demnach zur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106AsylG). Die Beschwerde ist daher abzuweisen.</w:t>
      </w:r>
    </w:p>
    <w:p>
      <w:r>
        <w:rPr>
          <w:b/>
        </w:rPr>
        <w:t>E. 8</w:t>
      </w:r>
    </w:p>
    <w:p>
      <w:r>
        <w:t>Bei diesem Ausgang des Verfahrens wären die Kosten grundsätzlich dem Beschwerdeführer aufzuerlegen (Art. 63 Abs. 1VwVG).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