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E-4575/2023 vom 7. Dezember 2023</w:t>
      </w:r>
    </w:p>
    <w:p>
      <w:r>
        <w:t>Bundesverwaltungsgericht, 2023-12-07, FR</w:t>
      </w:r>
    </w:p>
    <w:p>
      <w:r>
        <w:rPr>
          <w:b/>
        </w:rPr>
        <w:t xml:space="preserve">Quelle: </w:t>
      </w:r>
      <w:r>
        <w:t>https://mcp.opencaselaw.ch/entscheid/bvger_E-4575_2023</w:t>
      </w:r>
    </w:p>
    <w:p>
      <w:r>
        <w:t>FR: TAF E-4575/2023 du 7 décembre 2023</w:t>
      </w:r>
    </w:p>
    <w:p>
      <w:r>
        <w:t>IT: TAF E-4575/2023 del 7 dicembre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agissant pour eux-mêmes et leurs enfants mineurs, ont qualité pour recourir (art. 48 al. 1 PA). Présenté dans la forme (art. 52 al. 1 PA) et le délai (art. 108 al. 2 LAsi) prescrits par la loi, le recours est recevable.</w:t>
      </w:r>
    </w:p>
    <w:p>
      <w:r>
        <w:t>E-4575/2023 Page 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pertinence de leurs motifs.</w:t>
      </w:r>
    </w:p>
    <w:p>
      <w:r>
        <w:rPr>
          <w:b/>
        </w:rPr>
        <w:t>E. 3.2</w:t>
      </w:r>
    </w:p>
    <w:p>
      <w:r>
        <w:t>En ce qui concerne les déclarations du recourant, c’est à bon droit que le SEM a retenu que le dossier ne contenait aucun élément permettant de retenir qu’il puisse être considéré par les autorités turques comme une personne indésirable, en raison de ses activités en faveur du HDP, et qu’il soit recherché pour ce motif. En effet, lors de son audition, celui-ci a admis n’avoir jamais entretenu d’engagement politique et n’être visé par aucune poursuite judiciaire (cf. procès-verbal [p-v] d’audition de l’intéressé du</w:t>
      </w:r>
    </w:p>
    <w:p>
      <w:r>
        <w:rPr>
          <w:b/>
        </w:rPr>
        <w:t>E. 3.3</w:t>
      </w:r>
    </w:p>
    <w:p>
      <w:r>
        <w:t>S’agissant ensuite des déclarations de la recourante, celle-ci s’est contentée d’affirmer que sa seule crainte était liée à l’absence de solution de logement en cas de retour au pays (cf. p-v d’audition de l’intéressée du</w:t>
      </w:r>
    </w:p>
    <w:p>
      <w:r>
        <w:t>E-4575/2023 Page 9</w:t>
      </w:r>
    </w:p>
    <w:p>
      <w:r>
        <w:rPr>
          <w:b/>
        </w:rPr>
        <w:t>E. 3.4</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3.5</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E-4575/2023 Page 10</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5.3</w:t>
      </w:r>
    </w:p>
    <w:p>
      <w:r>
        <w:t>En l’espèce, les intéressés n’ont pas établi la haute probabilité d’un tel risque dans la mesure où aucun indice concret ne permet d’admettre, ainsi qu’il a été constaté, qu’ils seraient exposés à des traitements de cette nature du fait des autorités en cas de retour dans leur pays d’origine.</w:t>
      </w:r>
    </w:p>
    <w:p>
      <w:r>
        <w:rPr>
          <w:b/>
        </w:rPr>
        <w:t>E. 5.4</w:t>
      </w:r>
    </w:p>
    <w:p>
      <w:r>
        <w:t>Le Tribunal admet dès lors que l’exécution de leur renvoi sous la forme de refoulement ne transgresse aucun engagement de la Suisse relevant du droit international, de sorte qu’elle s’avère licite (art. 44 LAsi et 83 al. 3 LEI).</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E-4575/2023 Page 11</w:t>
      </w:r>
    </w:p>
    <w:p>
      <w:r>
        <w:rPr>
          <w:b/>
        </w:rPr>
        <w:t>E. 6.2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6.3</w:t>
      </w:r>
    </w:p>
    <w:p>
      <w:r>
        <w:t>Par ailleurs, il ne ressort du dossier aucun élément dont on pourrait inférer que l’exécution du renvoi impliquerait une mise en danger concrète des recourants. A cet égard, il convient de relever que l’intéressé est jeune et dispose d’une expérience professionnelle dans le domaine commercial, notamment en tant que responsable de vente. Quant à son épouse, elle est au bénéfice d’une formation de coiffeuse et pourra facilement réintégrer le marché de l’emploi dans son pays. Par ailleurs, tous deux bénéficient d’un large réseau familial en Turquie. Au surplus, ils pourront présenter, si nécessaire, une demande d’aide complémentaire matérielle (art. 74 al. 3 et 4 de l'ordonnance 2 du 11 août 1999 sur l'asile [OA 2, RS 142.312]) en vue de faciliter leur réinsertion au pays. En outre, bien qu’ils soient tous deux originaires du district de F._______, dans la province de G._______ – où ils ont toujours vécu –, vers laquelle l’exécution du renvoi n’est pas raisonnablement exigible en raison des séquelles du tremblement de terre de février 2023, il leur est loisible de s’installer dans une autre région de leur pays. A cet égard, la copie d’une photographie des prétendus dégâts occasionnés à leur domicile familial ne permet pas de parvenir à une conclusion différente. Enfin, les allégations du recourant selon lesquelles l’ensemble de sa famille souffrirait d’un « état psychique fragilisé » (cf. p-v d’audition de l’intéressé du 4 mai 2023, R5) ne sont nullement étayées. En effet, ce dernier n’a produit aucun rapport médical permettant d’en attester. N’ayant pas décrit de manière substantielle les troubles allégués, alors que cela lui incombe (cf. ATAF 2009/50 consid. 10.2.2), aucun élément ne laisse supposer que lui ainsi que sa famille seraient atteints d’une maladie grave nécessitant impérativement des investigations médicales ou la mise en place d’un suivi particulier auprès d’un médecin en Suisse, de sorte qu’une instruction complémentaire sur cette question ne s’impose pas à ce stade. Il sied de</w:t>
      </w:r>
    </w:p>
    <w:p>
      <w:r>
        <w:t>E-4575/2023 Page 12 relever à ce sujet que les intéressés ne se sont plus prévalus de telles atteintes à leur santé au stade du recours. A cela s’ajoute que la recourante a, au contraire, déclaré lors de son audition qu’elle et ses enfants étaient en bonne santé (cf. p-v d’audition de l’intéressée du 4 mai 2023, R5 s.). Concernant en particulier l’état de santé de D._______, hormis le certificat médical daté du 19 avril 2023, mentionnant qu’il présentait une infection virale des voies respiratoires, aucun autre document médical n’a été produit à ce jour. Dans ces conditions, rien n’indique que les enfants des recourants présenteraient un quelconque problème de santé à prendre en considération. En outre, ces deux enfants mineurs sont arrivés en Suisse le 3 avril 2023, de sorte qu’aucun lien particulier avec ce pays ne saurait être retenu en l’espèce. En conséquence, nullement étayé, l’argument selon lequel ceux-ci se trouveraient dans une « situation extrêmement difficile » s’ils devaient retourner en Turquie ne permet pas de parvenir à une conclusion différente.</w:t>
      </w:r>
    </w:p>
    <w:p>
      <w:r>
        <w:rPr>
          <w:b/>
        </w:rPr>
        <w:t>E. 6.4</w:t>
      </w:r>
    </w:p>
    <w:p>
      <w:r>
        <w:t>Pour l’ensemble de ces motifs, l’exécution du renvoi doit être considérée comme raisonnablement exigible.</w:t>
      </w:r>
    </w:p>
    <w:p>
      <w:r>
        <w:rPr>
          <w:b/>
        </w:rPr>
        <w:t>E. 7.1</w:t>
      </w:r>
    </w:p>
    <w:p>
      <w:r>
        <w:t>L'exécution n'est pas possible lorsque l'étranger ne peut pas quitter la Suisse pour son Etat d'origine, son Etat de provenance ou un Etat tiers, ni être renvoyé dans un de ces Etats (art. 83 al. 2 LEI).</w:t>
      </w:r>
    </w:p>
    <w:p>
      <w:r>
        <w:rPr>
          <w:b/>
        </w:rPr>
        <w:t>E. 7.2</w:t>
      </w:r>
    </w:p>
    <w:p>
      <w:r>
        <w:t>Les recourants étant titulaires de documents d’identité turcs valables, l’exécution de leur renvoi ne se heurte pas à des obstacles insurmontables d’ordre technique et s’avère également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t>E-4575/2023 Page 13</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10.2</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w:t>
      </w:r>
    </w:p>
    <w:p>
      <w:r>
        <w:rPr>
          <w:b/>
        </w:rPr>
        <w:t>E. 10.3</w:t>
      </w:r>
    </w:p>
    <w:p>
      <w:r>
        <w:t>Enfin, la requête d’exemption d’une avance de frais est devenue sans objet avec le présent prononcé.</w:t>
      </w:r>
    </w:p>
    <w:p>
      <w:r>
        <w:t>(dispositif : page suivante)</w:t>
      </w:r>
    </w:p>
    <w:p>
      <w:r>
        <w:t>E-4575/2023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