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E-4571/2010 vom 4. Juli 2011</w:t>
      </w:r>
    </w:p>
    <w:p>
      <w:r>
        <w:t>Bundesverwaltungsgericht, 2011-07-04, FR</w:t>
      </w:r>
    </w:p>
    <w:p>
      <w:r>
        <w:rPr>
          <w:b/>
        </w:rPr>
        <w:t xml:space="preserve">Quelle: </w:t>
      </w:r>
      <w:r>
        <w:t>https://mcp.opencaselaw.ch/entscheid/bvger_E-4571_2010</w:t>
      </w:r>
    </w:p>
    <w:p>
      <w:r>
        <w:t>FR: TAF E-4571/2010 du 4 juillet 2011</w:t>
      </w:r>
    </w:p>
    <w:p>
      <w:r>
        <w:t>IT: TAF E-4571/2010 del 4 luglio 2011</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 . Selon l'art. 45 LTAF, les art. 121 à 128 de la loi du 17 juin 2005 sur le Tribunal fédéral (LTF, RS 173.110) s'appliquent par analogie à la révision des arrêts du Tribunal.</w:t>
      </w:r>
    </w:p>
    <w:p>
      <w:r>
        <w:rPr>
          <w:b/>
        </w:rPr>
        <w:t>E. 1.2</w:t>
      </w:r>
    </w:p>
    <w:p>
      <w:r>
        <w:t>Ayant fait l'objet l'arrêt mis en cause par la présente demande de révision, le requérant qualité pour agir. Présentée dans la forme (cf. art. 67 al. 3 PA, applicable par renvoi de l'art. 47 LTAF) et le délai prescrits par la loi (cf. art. 124 LTF), ladite demande est recevable.</w:t>
      </w:r>
    </w:p>
    <w:p>
      <w:r>
        <w:rPr>
          <w:b/>
        </w:rPr>
        <w:t>E. 2</w:t>
      </w:r>
    </w:p>
    <w:p>
      <w:r>
        <w:t>Aux termes de l'art. 123 al. 2 let. a LTF,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w:t>
      </w:r>
    </w:p>
    <w:p>
      <w:r>
        <w:rPr>
          <w:b/>
        </w:rPr>
        <w:t>E. 3.1</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Berne 2009, n° 18 ad art. 123 LTF). Cela implique aussi qu'il doit avoir fait preuve de toute la diligence que l'on peut exiger de lui. Celle-ci fera en particulier défaut si la découverte du fait ou du moyen de preuve est le fruit de recherches qui auraient pu et dû être effectuées plus tôt (cf. arrêt du Tribunal fédéral 9F_2/2010 du 27 mai 2010, consid. 1 et la référence).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Tribunal fédéral 4A_144/2010 du 28 septembre 2010, consid. 2.1.2 et les renvois). La voie de la révision ne permet pas de rediscuter l'argumentation juridique contenue dans l'arrêt dont la révision est demandée (cf. arrêt du Tribunal fédéral 6B_1062/2009 du 3 novembre 2010, consid. 5.1.1 ; ATAF 2007/21 consid. 7.2 et 8.1 ; JICRA 2003 n° 17 consid. 2b, Jurisprudence et informations de la Commission suisse de recours en matière d'asile [JICRA] 1993 n° 18 consid. 2a et 3a et JICRA 1993 n° 4 consid. 5).</w:t>
      </w:r>
    </w:p>
    <w:p>
      <w:r>
        <w:rPr>
          <w:b/>
        </w:rPr>
        <w:t>E. 3.2</w:t>
      </w:r>
    </w:p>
    <w:p>
      <w:r>
        <w:t>En l'espèce, le requérant a produit plusieurs documents, qu'il présente comme des moyens de preuve établissant de tels faits nouveaux, de nature à mener à une autre issue de la cause ; force est cependant de constater qu'aucun d'entre eux ne peut avoir cette portée. Il n'est par ailleurs pas établi que l'intéressé ait fait preuve de toute la diligence requise en ne produisant ces documents qu'après la fin de la procédure ordinaire ; vu ce qui suit, cette question peut cependant rester indécise.</w:t>
      </w:r>
    </w:p>
    <w:p>
      <w:r>
        <w:rPr>
          <w:b/>
        </w:rPr>
        <w:t>E. 3.2.1</w:t>
      </w:r>
    </w:p>
    <w:p>
      <w:r>
        <w:t>En effet, dans son arrêt du 10 mai 2010, le Tribunal avait admis, rejetant les pièces déposées à titre de preuves, que ces actes supposés issus d'une juridiction pénale portaient le timbre d'un tribunal civil ; leur authenticité ne pouvait donc être retenue. L'extrait de l'ouvrage "Manual of Family Laws in Pakistan" produit par le requérant n'est pas de nature à infirmer cette appréciation. En effet, il s'agit en l'occurrence d'une très courte mention relative à la compétence des tribunaux chargés des affaires familiales, laquelle peut trouver sa source dans la loi de procédure criminelle. Il s'agit en l'espèce d'une réglementation très ancienne (1898), dont le degré de validité actuel reste inconnu. De plus, il faut relever que rien n'indique qu'une telle règle soit applicable hors du domaine du droit de la famille ; or l'affaire dans laquelle l'intéressé aurait été impliqué était d'une toute autre nature. En conséquence, l'appréciation du Tribunal, selon laquelle les documents déposés par le requérant en procédure ordinaire étaient clairement forgés de toutes pièces (appréciation étayée par l'analyse de l'ODM), garde toute sa valeur.</w:t>
      </w:r>
    </w:p>
    <w:p>
      <w:r>
        <w:rPr>
          <w:b/>
        </w:rPr>
        <w:t>E. 3.2.2</w:t>
      </w:r>
    </w:p>
    <w:p>
      <w:r>
        <w:t>Les autres documents produits à l'appui de la demande de révision ne concernent pas le requérant, mais son frère ; ils ne sont donc pas pertinents. Le requérant prétend certes que l'action pénale ouverte contre son frère est infondée, qu'elle constitue une mesure de représailles destinée à l'atteindre personnellement, et que lui-même serait exposé, en cas de retour, à un arbitraire analogue ; à l'appui de cette thèse, il se livre à de longs développements sur la corruption et le manque de fiabilité de la justice pakistanaise. Il est certes attesté que l'appareil judiciaire du Pakistan est accessible aux pressions financières et politiques, et ne fonctionne pas correctement (cf. à ce sujet OSAR, Pakistan - Justizsystem und Haftbedingungen, Berne, mai 2010). Toutefois, les considérations générales du requérant sur ce point n'établissent en rien que son frère soit poursuivi à tort, aucune preuve ne permettant de retenir une telle hypothèse dans le cas d'espèce. Il s'agit là en effet d'une affaire de droit commun, d'ailleurs dirigée contre plusieurs accusés, dont il faudrait alors admettre que tous sont poursuivis sans raison valable ; de plus, autant qu'on puisse en juger, les rebondissements de cette procédure (le frère du requérant ayant été semble-t-il arrêté et condamné, puis à nouveau relâché) ne plaident pas dans le sens d'une manipulation par les autorités. Le jugement du 20 octobre 2008 retient d'ailleurs que B._______ a été identifié par sa victime (p. 15) et que l'excuse du complot politique, soulevée par les accusés, n'était pas crédible (p.16-17). Les pièces déposées ne font en rien apparaître que la procédure pénale ouverte contre B._______ soit d'une quelconque façon irrégulière. Aucun indice ne permet donc a fortiori de considérer qu'elle constitue une manière pour les autorités pakistanaises de s'en prendre au requérant, et que celui-ci courre un danger de persécution en cas de retour.</w:t>
      </w:r>
    </w:p>
    <w:p>
      <w:r>
        <w:rPr>
          <w:b/>
        </w:rPr>
        <w:t>E. 3.3</w:t>
      </w:r>
    </w:p>
    <w:p>
      <w:r>
        <w:t>Dès lors, la demande de révision apparaît comme infondée ; elle doit donc être rejetée.</w:t>
      </w:r>
    </w:p>
    <w:p>
      <w:r>
        <w:rPr>
          <w:b/>
        </w:rPr>
        <w:t>E. 4</w:t>
      </w:r>
    </w:p>
    <w:p>
      <w:r>
        <w:t>Il y a lieu de mettre les frais de procédure à la charge du recourant (cf. art. 63 al. 1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