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E-4562/2018 vom 11. Mai 2020</w:t>
      </w:r>
    </w:p>
    <w:p>
      <w:r>
        <w:t>Bundesverwaltungsgericht, 2020-05-11, DE</w:t>
      </w:r>
    </w:p>
    <w:p>
      <w:r>
        <w:rPr>
          <w:b/>
        </w:rPr>
        <w:t xml:space="preserve">Quelle: </w:t>
      </w:r>
      <w:r>
        <w:t>https://mcp.opencaselaw.ch/entscheid/bvger_E-4562_2018</w:t>
      </w:r>
    </w:p>
    <w:p>
      <w:r>
        <w:t>FR: TAF E-4562/2018 du 11 mai 2020</w:t>
      </w:r>
    </w:p>
    <w:p>
      <w:r>
        <w:t>IT: TAF E-4562/2018 del 11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Am 1. Januar 2019 wurde das Ausländergesetz vom 16. Dezember 2005 (AIG,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6</w:t>
      </w:r>
    </w:p>
    <w:p>
      <w:r>
        <w:t>Die Vorinstanz gelangt in der angefochtenen Verfügung zum Schluss, die Vorbringen des Beschwerdeführers hielten den Anforderungen an das Glaubhaftmachen nach Art. 7 AsylG nicht stand. Der Beschwerdeführer habe zu seinem Beitritt zu den LTTE, seinem erhaltenen Training, seiner geltend gemachten (...), seiner späteren Festnahme sowie zu seiner Gefangenschaft nur oberflächliche und undetaillierte Angaben gemacht, welche unter anderem keine individuellen Komponenten enthielten. Auch wenn er anlässlich der Anhörung bei gewissen Themen Emotionen gezeigt habe, sei es ihm trotz mehrfachen Nachfragens nicht gelungen, angeblich Erlebtes substantiell und mit persönlichem Bezug zu veranschaulichen. Ausserdem setze er sich in einen offensichtlichen Widerspruch, wenn er angebe, er habe sich im Jahre 20(...) eine Identitätskarte ausstellen lassen, während er sich zur selben Zeit im Gefängnis befunden haben solle. Sodann sei seiner zu den Akten gereichten eidesstattlichen Erklärung bereits aufgrund der darin enthaltenen sprachlichen Mängel die Beweiskraft abzusprechen. Im Ergebnis sei weder davon auszugehen, es hätten im Zeitpunkt seiner Ausreise Vorfluchtgründe bestanden, noch bestehe begründeter Anlass zur Annahme, er würde bei einer Rückkehr nach Sri Lanka mit beachtlicher Wahrscheinlichkeit und in absehbarer Zukunft asylrelevanten Verfolgungsmassnahmen ausgesetzt werden.</w:t>
      </w:r>
    </w:p>
    <w:p>
      <w:r>
        <w:rPr>
          <w:b/>
        </w:rPr>
        <w:t>E. 7</w:t>
      </w:r>
    </w:p>
    <w:p>
      <w:r>
        <w:t>Die Vorinstanz hat in der angefochtenen Verfügung eingehend dargelegt, weshalb es den Schilderungen des Beschwerdeführers insbesondere an Substanz, individuellem Bezug sowie Detailreichtum mangelt und dass seine Vorbringen teilweise widersprüchlich sind. Mit dem sinngemässen Wiederholen des aktenkundigen Sachverhalts und dem nicht näher substantiierten Festhalten am Wahrheitsgehalt seiner Aussagen legt er dagegen nicht dar, inwiefern die Einschätzung der Vorinstanz fehlerhaft und deshalb Bundesrecht verletzt sein soll. Sodann bleiben seine Schilderungen, insbesondere zu seiner (...) sowie zu seiner Zeit im Gefängnis auch in der Rechtsmitteleingabe oberflächlich und substanzarm. Dass er kein Mann vieler Worte sei, vermag an der aus Art. 7 AsylG fliessenden Beweisfolgelast nichts zu ändern. Soweit er auf Beschwerdeebene vorbringt, sein Onkel habe sich während seiner Haft im Jahre 20(...) ohne sein Beisein um die Erneuerung seiner Identitätskarte gekümmert, kann dies nicht geglaubt werden, da er anlässlich der Anhörung erklärte, dass er deshalb persönlich beim Dorfvorsteher vorgesprochen habe (vgl. SEM-Akten A17/26 F25 f.). Insgesamt ist deshalb festzuhalten, dass die Vorinstanz die Vorbringen des Beschwerdeführers zu seinen Fluchtgründen zu Recht als unglaubhaft qualifizierte. Abschliessend ist festzustellen, dass der Beschwerdeführer auch keine Risikofaktoren aufweist, welche in ihrer Summe befürchten liessen, er wäre bei einer Rückkehr nach Sri Lanka einer erhöhten Gefahr vor Verfolgung ausgesetzt. Allein der Umstand, dass ein Asylbewerber Narben trägt, reicht dafür nicht aus (vgl. Urteil E-1866/2015 vom 15. Juli 2016 E. 8.5.5 [als Referenzurteil publiziert]).</w:t>
      </w:r>
    </w:p>
    <w:p>
      <w:r>
        <w:rPr>
          <w:b/>
        </w:rPr>
        <w:t>E. 8</w:t>
      </w:r>
    </w:p>
    <w:p>
      <w:r>
        <w:t>Aufgrund des Ausgeführten ist festzuhalten, dass die Vorinstanz die Flüchtlingseigenschaft des Beschwerdeführers zu Recht verneint und sein Asylgesuch abgelehnt hat.</w:t>
      </w:r>
    </w:p>
    <w:p>
      <w:r>
        <w:rPr>
          <w:b/>
        </w:rPr>
        <w:t>E. 9</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für sich allein lässt den Wegweisungsvollzug nach konstanter Rechtsprechung des Bundesverwaltungsgerichts nicht als unzulässig erscheinen. Auch der EGMR hatte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das bereits erwähnte Referenzurteil des Bundesverwaltungsgerichts E-1866/2015). Nachdem der Beschwerdeführer nicht darlegen konnte, dass er bei einer Rückkehr nach Sri Lanka befürchten müsste, die Aufmerksamkeit der sri-lankischen Behörden in einem flüchtlingsrechtlich relevanten Ausmass auf sich zu ziehen (vgl. E. 7), bestehen auch keine Anhaltspunkte dafür, ihm würde aus demselben Grund eine menschenrechtswidrige Behandlung in seinem Heimatstaat drohen. Daran vermögen der Regierungswechsel vom November 2019 und die politischen Veränderungen in Sri Lanka nichts zu ändern. Der Vollzug der Wegweisung des Beschwerdeführers erweist sich demzufolge als zulässig.</w:t>
      </w:r>
    </w:p>
    <w:p>
      <w:r>
        <w:rPr>
          <w:b/>
        </w:rPr>
        <w:t>E. 10.1.2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10.1.2.1</w:t>
      </w:r>
    </w:p>
    <w:p>
      <w:r>
        <w:t>Im bereits zitierten Referenzurteil E-1866/2015 hat das Bundesverwaltungsgericht seine bisherige Rechtsprechung (vgl. BVGE 2011/24) bestätigt, wonach der Wegweisungsvollzug in die Ost- und Nordprovinz zumutbar ist, wenn das Vorliegen der individuellen Zumutbarkeitskriterien (insbesondere Existenz eines tragfähigen familiären oder sozialen Beziehungsnetzes sowie Aussichten auf eine gesicherte Einkommens- und Wohnsituation) bejaht werden kann. In einem weiteren als Referenzurteil publizierten Entscheid qualifizierte das Bundesverwaltungsgericht auch den Vollzug von Wegweisungen ins "Vanni-Gebiet" grundsätzlich als zumutbar (vgl. Urteil D-3619/2016 vom 16. Oktober 2017 E. 9.5).</w:t>
      </w:r>
    </w:p>
    <w:p>
      <w:r>
        <w:rPr>
          <w:b/>
        </w:rPr>
        <w:t>E. 10.1.2.2</w:t>
      </w:r>
    </w:p>
    <w:p>
      <w:r>
        <w:t>Der Beschwerdeführer verfügt in seiner Herkunftsregion über ein familiäres sowie wirtschaftlich tragfähiges Beziehungsnetz und hat zudem Erfahrung in der (...) (vgl. Bst. A, SEM-Akten A3/13 Ziff. 1.17.05 sowie Ziff. 3.01und A17/26 F11 ff.). Es ist somit davon auszugehen, dass ihm die soziale und wirtschaftliche Reintegration in seinem Heimatland gelingen wird. Seine geltend gemachten gesundheitlichen Leiden sind in seinem Heimatland ohne Weiteres behandelbar (vgl. Urteil des BVGer D-3210/2018 vom 5. Juli 2019 E. 8.3 sowie E-7137/2018 E. 12.3 vom 23. Januar 2018 E 12.3). Zudem kann auf die Möglichkeit der medizinische Rückkehrhilfe verwiesen werden (vgl. Art. 93 Abs. 1 Bst. d AsylG, Art. 75 der Asylverordnung 2 vom 11. August 1999 [AsylV 2, SR 142.312]). Mithin erweist sich der Wegeweisungsvollzug auch in individueller Hinsicht als zumutbar.</w:t>
      </w:r>
    </w:p>
    <w:p>
      <w:r>
        <w:rPr>
          <w:b/>
        </w:rPr>
        <w:t>E. 10.1.3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10.2</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Verfahrenskosten dem Beschwerdeführer aufzuerlegen (Art. 63 Abs. 1 VwVG) und auf Fr. 750.- festzusetzen (Art. 1-3 des Reglements vom 21. Februar 2008 über die Kosten und Entschädigungen vor dem Bundesverwaltungsgericht [VGKE; SR 173.320.2]). Der am 3. September 2018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