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E-4560/2017 vom 22. November 2017</w:t>
      </w:r>
    </w:p>
    <w:p>
      <w:r>
        <w:t>Bundesverwaltungsgericht, 2017-11-22, FR</w:t>
      </w:r>
    </w:p>
    <w:p>
      <w:r>
        <w:rPr>
          <w:b/>
        </w:rPr>
        <w:t xml:space="preserve">Quelle: </w:t>
      </w:r>
      <w:r>
        <w:t>https://mcp.opencaselaw.ch/entscheid/bvger_E-4560_2017</w:t>
      </w:r>
    </w:p>
    <w:p>
      <w:r>
        <w:t>FR: TAF E-4560/2017 du 22 novembre 2017</w:t>
      </w:r>
    </w:p>
    <w:p>
      <w:r>
        <w:t>IT: TAF E-4560/2017 del 22 novembre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admet que le récit du recourant relatif à son service militaire, précis et exempt de contradictions importantes, est substantiellement exact.</w:t>
      </w:r>
    </w:p>
    <w:p>
      <w:r>
        <w:rPr>
          <w:b/>
        </w:rPr>
        <w:t>E. 3.2</w:t>
      </w:r>
    </w:p>
    <w:p>
      <w:r>
        <w:t>En effet, lors de l'audition du 8 septembre 2016, il a décrit de manière détaillée la chronologie de ses périodes de service (la référence faite au CEP à un congé de 2000 à 2004 résultant manifestement d'une incompréhension), indiqué le nom et le numéro des unités où il servait, ainsi que les lieux où il avait été stationné. Il a également dépeint avec clarté sa participation aux combats de mai-juin 2004. A cela s'ajoute que la carte militaire et les photographies produites, ainsi que les séquelles de blessures reçues au combat, comme sa surdité traumatique, plaident pour la crédibilité des épisodes de sa vie militaire, tels qu'ils ont été relatés. Dans ce contexte, le Tribunal ne peut exclure que l'intéressé ait quitté le pays sans être en règle avec la législation militaire (cf. consid. 4 ci-dessous). Toutefois, il n'a pas été en mesure d'établir la crédibilité de sa désertion, ses déclarations sur ce point n'emportant pas la conviction. En effet, le recourant a expliqué qu'en deux occasions, il avait quitté illégalement les rangs de l'armée, durant de longues périodes (2005-2008, puis 2009-2012), afin de soutenir matériellement sa famille. Il semble néanmoins n'avoir jamais été recherché activement, bien que domicilié dans la capitale, et donc plus facile à retrouver ; l'argument selon lequel les autorités militaires auraient ignoré ses changements d'adresse successifs n'emporte pas la conviction. Le Tribunal ne peut certes exclure, au vu de l'arbitraire pratiqué en Erythrée par l'autorité militaire, que par des mesures de faveur, ses supérieurs lui aient épargné toute sanction pénale, et que l'intéressé en ait été quitte par des punitions disciplinaires. Ces épisodes tendent toutefois à indiquer qu'il n'était pas activement recherché, alors que vu la gravité et la durée de ses absences illégales, les sanctions appliquées auraient pu être bien plus graves. Enfin, après sa dernière désertion, au début 2014, l'intéressé serait resté encore une année à Asmara, là aussi sans être retrouvé, se bornant à prendre quelques précautions dans son emploi du temps, ses déplacements et son lieu de travail. Même si ces mesures de prudence élémentaires auraient pu suffire, durant ce laps de temps, à le mettre à l'abri d'une arrestation, il apparaît qu'il ne se sentait alors pas en danger de manière pressante. De même, s'il pensait être exposé à une interpellation, le recourant n'aurait pas pris le risque, en décembre 2014, de se faire délivrer une carte de résidence, quand bien même cette démarche le mettait en contact avec une autorité purement civile.</w:t>
      </w:r>
    </w:p>
    <w:p>
      <w:r>
        <w:rPr>
          <w:b/>
        </w:rPr>
        <w:t>E. 3.3</w:t>
      </w:r>
    </w:p>
    <w:p>
      <w:r>
        <w:t>En conclusion, le Tribunal ne peut retenir, sur la base de ce récit, que l'intéressé ait fait l'objet de recherches actives par les autorités au moment de son départ, et ait alors été considéré comme un déserteur et un réfractaire. N'entretenant par ailleurs aucun engagement politique, il n'y avait alors pas de raison qu'il ait été exposé à un risque de persécution. Il s'ensuit que le recours, en tant qu'il conteste le refus de l'asile, doit être rejeté.</w:t>
      </w:r>
    </w:p>
    <w:p>
      <w:r>
        <w:rPr>
          <w:b/>
        </w:rPr>
        <w:t>E. 4.1</w:t>
      </w:r>
    </w:p>
    <w:p>
      <w:r>
        <w:t>La question se pose en revanche des incidences, en matière de risques de persécution, du départ illégal du recourant de son pays d'origine. Selon l'art. 54 LAsi, l'asile n'est pas accordé à la personne qui n'est devenue un réfugié au sens de l'art. 3 qu'en quittant son Etat d'origine ou de provenance ou en raison de son comportement ultérieur.</w:t>
      </w:r>
    </w:p>
    <w:p>
      <w:r>
        <w:rPr>
          <w:b/>
        </w:rPr>
        <w:t>E. 4.2</w:t>
      </w:r>
    </w:p>
    <w:p>
      <w:r>
        <w:t>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4.3</w:t>
      </w:r>
    </w:p>
    <w:p>
      <w:r>
        <w:t>En l'espèce, le recourant a fourni une description précise et crédible des circonstances de son départ, et de la manière dont il a pu échapper aux contrôles. La réalité de sa sortie clandestine d'Erythrée peut donc être retenue. En Erythrée, bien que l'âge limite du service, pour les hommes, soit légalement fixé à 50 ou 54 ans, selon les sources, en tout cas comme réservistes (cf. Organisation suisse d'aide aux réfugiés [OSAR], Erythrée : Service national, 30 juin 2017), le service national (sous forme militaire ou civile) est de facto d'une durée potentiellement illimitée. Le fait de s'y soustraire est de nature à entraîner des sanctions graves, y compris l'emprisonnement dans des conditions inhumaines, régime qui peut revêtir le caractère d'une persécution. L'intéressé, qui a longtemps servi dans l'armée, ne paraît pas avoir été régulièrement démobilisé, et l'autorité de première instance ne le prétend pas. Il a quitté le pays à l'âge de (...) ans, et en a aujourd'hui (...), si bien qu'il reste tenu de servir. Bien que sa situation militaire soit peu claire, il n'en est pas moins hautement probable que celle-ci est irrégulière, si bien que son départ illégal doit être appréhendé sous cette lumière. Les sanctions qui sont susceptibles de le frapper pour sortie illégale seront dès lors aggravées en raison de sa violation des règlements militaires, laquelle constitue en l'occurrence un facteur aggravant.</w:t>
      </w:r>
    </w:p>
    <w:p>
      <w:r>
        <w:rPr>
          <w:b/>
        </w:rPr>
        <w:t>E. 4.4</w:t>
      </w:r>
    </w:p>
    <w:p>
      <w:r>
        <w:t>En conséquence, le Tribunal en arrive à la conclusion que le recourant, vu sa situation personnelle, court un risque de persécution en cas de retour en Erythrée, du fait de son départ illégal ; il revêt donc la qualité de réfugié. Dans ces conditions, l'exécution du renvoi de A._______ doit être considérée comme illicite, puisque contraire à la Convention relative au statut des réfugiés du 28 juillet 1951 (RS 0.142.30), plus spécialement à son art. 33. Dès lors, il y a lieu de prononcer son admission provisoire.</w:t>
      </w:r>
    </w:p>
    <w:p>
      <w:r>
        <w:rPr>
          <w:b/>
        </w:rPr>
        <w:t>E. 5</w:t>
      </w:r>
    </w:p>
    <w:p>
      <w:r>
        <w:t>En conséquence, le recours doit être admis et la décision attaquée annulée, en tant qu'elle refuse au recourant la qualité de réfugié et ordonne l'exécution du renvoi. L'autorité de première instance est invitée à prononcer l'admission provisoire du recourant.</w:t>
      </w:r>
    </w:p>
    <w:p>
      <w:r>
        <w:rPr>
          <w:b/>
        </w:rPr>
        <w:t>E. 6.1</w:t>
      </w:r>
    </w:p>
    <w:p>
      <w:r>
        <w:t>L'assistance judiciaire ayant été accordée, il n'y a pas lieu de percevoir de frais (art. 65 al. 1 PA).</w:t>
      </w:r>
    </w:p>
    <w:p>
      <w:r>
        <w:rPr>
          <w:b/>
        </w:rPr>
        <w:t>E. 6.2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n'exerçant pas la profession d'avocat. Seuls les frais nécessaires sont indemnisés (art. 8 al. 2 FITAF).</w:t>
      </w:r>
    </w:p>
    <w:p>
      <w:r>
        <w:rPr>
          <w:b/>
        </w:rPr>
        <w:t>E. 6.3</w:t>
      </w:r>
    </w:p>
    <w:p>
      <w:r>
        <w:t>Dans le cas d'espèce, le Tribunal estime le temps de travail nécessité par la procédure de recours (production d'un rapport médical) à une heure. L'indemnité est ainsi arrêtée à 150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