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E-4558/2011 vom 4. Oktober 2012</w:t>
      </w:r>
    </w:p>
    <w:p>
      <w:r>
        <w:t>Bundesverwaltungsgericht, 2012-10-04, DE</w:t>
      </w:r>
    </w:p>
    <w:p>
      <w:r>
        <w:rPr>
          <w:b/>
        </w:rPr>
        <w:t xml:space="preserve">Quelle: </w:t>
      </w:r>
      <w:r>
        <w:t>https://mcp.opencaselaw.ch/entscheid/bvger_E-4558_2011</w:t>
      </w:r>
    </w:p>
    <w:p>
      <w:r>
        <w:t>FR: TAF E-4558/2011 du 4 octobre 2012</w:t>
      </w:r>
    </w:p>
    <w:p>
      <w:r>
        <w:t>IT: TAF E-4558/2011 del 4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w:t>
      </w:r>
    </w:p>
    <w:p>
      <w:r>
        <w:rPr>
          <w:b/>
        </w:rPr>
        <w:t>E. 1.5</w:t>
      </w:r>
    </w:p>
    <w:p>
      <w:r>
        <w:t>Die Eingabe des Beschwerdeführers ist nicht in einer der erwähnten Sprachen verfasst. Das Bundesverwaltungsge­richt ist indessen aus prozessökonomischen Gründen, ohne präjudizierende Wirkung, bereit, diese ohne Übersetzung entge­genzunehmen.</w:t>
      </w:r>
    </w:p>
    <w:p>
      <w:r>
        <w:rPr>
          <w:b/>
        </w:rPr>
        <w:t>E. 1.6</w:t>
      </w:r>
    </w:p>
    <w:p>
      <w:r>
        <w:t>Die Beschwerdeschrift hat die Begehren, deren Begründung mit An­gabe der Beweismittel und die Unterschrift des Beschwerdeführers oder seines Vertreters zu enthalten (Art. 52 Abs. 1 VwVG). Die vorliegende Beschwerde genügt diesen Anforderungen nicht, weil die Rechtsbegehren nicht begründet wurden. Indessen kündigte der Beschwerdeführer an, diese innert vier Wochen nachzuliefern, weshalb auf die Ansetzung einer Nachfrist - insbesondere angesichts des vom Ausland eingeleiteten Verfahrens - im Sinne von Art. 52 Abs. 2 VwVG verbunden mit der Androhung eines Nichteintretensentscheides bei allfälligem Ausbleiben des Nachreichens der Begründung (Art. 52 Abs. 3 VwVG) verzichtet wurde. Dass der Beschwerdeführer weder Begründung noch die angekündigten Beweismittel nachgeliefert hat. Dass indessen mangels Androhung eines Nichteintretens, auf die fristgerecht eingereicht Beschwerde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kann (Art. 3 und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EMARK 1997 Nr. 15 E. 2e-g; 2004 Nr. 20 E. 3b; 2004 Nr. 21 E. 2; 2005 Nr. 19 E. 4).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Das Bundesverwaltungsgericht kommt nach Würdigung der gesamten Aktenlage zum Schluss, dass die vorinstanzliche Verfügung vollumfänglich zu bestätigen ist. So ist es dem Beschwerdeführer offensichtlich nicht gelungen, eine erlittene asylrelevante Verfolgung bzw. eine begründete Furcht vor zukünftiger Verfolgung glaubhaft zu machen. Um Wiederholungen zu vermeiden sei auf die entsprechenden zutreffenden Ausführungen des BFM zu verweisen (vgl. Prozessgeschichte Bst. C; Art. 109 BGG i.V.m. Art. 111a Abs. 2 AsylG ). Zu berücksichtigen gilt zudem, dass der Beschwerdeführer seine Beschwerde nicht begründete und insbesondere auch nicht - wie in seiner Beschwerde angekündigt - eine "Verteidigung" nachreichte, weshalb der vorinstanzlich zu Recht festgestellten mangelnden Asylrelevanz der Vorbringen nichts Substantiiertes entgegengehalten wurde. Nach dem Gesagten ist zusammenfassend festzuhalten, dass der Beschwerdeführer aufgrund der Akten offensichtliche keine aktuelle Gefährdung beziehungsweise konkreten Hinweise auf eine künftige asylrechtlich relevante Verfolgung darzulegen vermochte. Die von ihm geltend gemachte Furcht vor Übergriffen durch eine ihm unbekannte "Macht" erscheint nicht derart zu sein, dass ihm im asylrechtlichen Sinne der Verbleib im Heimatstaat nicht zugemutet werden könnte (vgl. Art. 20 Abs. 2 AsylG). Unter diesen Umständen hat die Vorinstanz dem Beschwerdeführer zu Recht die Erteilung der Einreisebewilligung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dem Beschwerdeführer aufzuerlegen (Art. 63 Abs.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