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E-4556/2017 vom 14. August 2019</w:t>
      </w:r>
    </w:p>
    <w:p>
      <w:r>
        <w:t>Bundesverwaltungsgericht, 2019-08-14, DE</w:t>
      </w:r>
    </w:p>
    <w:p>
      <w:r>
        <w:rPr>
          <w:b/>
        </w:rPr>
        <w:t xml:space="preserve">Quelle: </w:t>
      </w:r>
      <w:r>
        <w:t>https://mcp.opencaselaw.ch/entscheid/bvger_E-4556_2017</w:t>
      </w:r>
    </w:p>
    <w:p>
      <w:r>
        <w:t>FR: TAF E-4556/2017 du 14 août 2019</w:t>
      </w:r>
    </w:p>
    <w:p>
      <w:r>
        <w:t>IT: TAF E-4556/2017 del 14 agosto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(BVGE 2014/26 E. 5).</w:t>
      </w:r>
    </w:p>
    <w:p>
      <w:r>
        <w:rPr>
          <w:b/>
        </w:rPr>
        <w:t>E. 4.1</w:t>
      </w:r>
    </w:p>
    <w:p>
      <w:r>
        <w:t>Der Beschwerdeführer beantragt, es sei ein medizinisches Gutachten nach den Vorgaben des Istanbul Protokolls in Auftrag zu gegeben und eine persönliche Anhörung beim Bundesverwaltungsgericht durchzuführen.</w:t>
      </w:r>
    </w:p>
    <w:p>
      <w:r>
        <w:rPr>
          <w:b/>
        </w:rPr>
        <w:t>E. 4.2</w:t>
      </w:r>
    </w:p>
    <w:p>
      <w:r>
        <w:t>Der Beschwerdeführer reichte am 26. September 2017 einen Arztbericht eines Facharztes für Psychiatrie und Psychotherapie ein. Der Antrag auf Einholung eines medizinischen Gutachtens ist damit gegenstandslos geworden. Nach Art. 57 Abs. 2 VwVG kann die Beschwerdeinstanz auf jeder Stufe des Verfahrens eine mündliche Verhandlung anberaumen. Das Bundesverwaltungsgericht machte im Bereich des Asylrechts von dieser Möglichkeit bislang keinen Gebrauch. Der Beschwerdeführer wurde zu seiner Person befragt und zwei Mal angehört. Die Befragung und die Anhörungen weisen keine Unregelmässigkeiten auf; der rechtserhebliche Sachverhalt ist hinreichend erstellt. Es besteht somit auch im vorliegenden Fall keine Notwendigkeit für die Durchführung einer mündlichen Verhandlung. Der entsprechende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der Beschwerdeführer habe zwar teilweise ausführlich berichtet und die Vorbringen logisch konsistent vorgebracht, aber aufgrund mehrerer Ungereimtheiten und oberflächlicher Schilderungen zentraler Elemente seien seine Vorbringen nicht glaubhaft. So habe er bei der Erstanhörung angegeben, er sei bei beiden Mitnahmen über eine Nebenstrasse ins Militärcamp gebracht worden, während er an der Zweitanhörung meinte, über eine Hauptstrasse ins Militärcamp gefahren zu sein. Betreffend die anwesenden Personen im Militärcamp habe er anlässlich der Erstanhörung angegeben, es seien mehrere Personen in verschiedenen Zelten anwesend gewesen. An der Zweitanhörung habe er hingegen gesagt, er habe keine anderen Soldaten gesehen. Des Weiteren habe er sich beim Ort, wo er sich versteckt habe, als die Soldaten zum dritten Mal gekommen seien, widersprochen. Bei seiner zweiten Mitnahme habe er bereits gewusst, was die Soldaten ihm antun könnten, und sich demnach in einer Angstsituation befunden. Es wäre davon auszugehen gewesen, dass er die unmittelbare Umgebung beobachtet und allfällige Fluchtmöglichkeiten in Erwägung gezogen hätte. Die Schilderung, wie er sich den sexuellen Missbräuchen widersetzt habe, sei vage und unsubstantiiert ausgefallen. Er habe auch nicht plausibel erklären können, weshalb seine Familie wegen der Vorfälle keine Anzeige bei der Polizei erstattet habe.</w:t>
      </w:r>
    </w:p>
    <w:p>
      <w:r>
        <w:rPr>
          <w:b/>
        </w:rPr>
        <w:t>E. 6.2</w:t>
      </w:r>
    </w:p>
    <w:p>
      <w:r>
        <w:t>Der Beschwerdeführer bringt vor, er habe das Erlebte sehr substantiiert, detailreich und mit Realkennzeichen versehen geschildert. An der Zweitanhörung habe er erklärt, der Weg zum Militärcamp habe anfangs über eine Nebenstrasse und dann über eine Hauptstrasse geführt. Der angebliche Widerspruch betreffend die anwesenden Personen im Militärcamp sei auf die ungenaue Befragung durch die Vorinstanz zurückzuführen; bei der Erstanhörung hätten sich seine Angaben auf den ersten Vorfall, bei der Zweitanhörung auf den zweiten Vorfall bezogen. Bei der Erstanhörung habe er angegeben, sich hinter dem Haus versteckt zu haben, als die Soldaten ein drittes Mal gekommen seien. An der Zweitanhörung habe er dies lediglich dahingehend präzisiert, dass er sich im Schlafzimmer, welches sich auf der hinteren Seite des Hauses befinde, versteckt habe. Zudem beträfen die geltend gemachten Widersprüche nur sekundäre Punkte seiner Angaben und sollten deshalb keinen Einfluss auf seine Glaubwürdigkeit haben. Er habe erklärt, dass er sich aus Angst, noch schlimmer missbraucht oder getötet zu werden, nicht gegen die sexuellen Übergriffe gewehrt habe. Er sei auch physisch nicht in der Lage gewesen, sich zwei grossen Männern zu widersetzen. Die Annahme der Vorinstanz, er hätte sich wehren oder zumindest Anzeige erstatten können, zeuge nicht von länderspezifischen Kenntnissen. Er habe ausführlich erklärt, dass die Eltern aus Angst vor gesellschaftlicher Ausgrenzung und Repressalien keine Anzeige bei der Polizei erstattet hätten. Unzählige Berichte belegten, dass in Sri Lanka sexueller Missbrauch durch Militär- und Polizeiangehörige häufig vorkommen würde, ohne dass diese belangt würden. Der Hintergrund der Vorfälle sei politisch (mit)bedingt, da der Missbrauch im Militärcamp durch singhalesisch sprechende Soldaten geschehen sei. Zum Zeitpunkt seiner Ausreise sei er deshalb asylrelevanten Nachteilen im Sinne von Art. 3 AsylG ausgesetzt gewesen und er habe begründete Furcht vor künftiger Verfolgung. Zudem erfülle er die Risikofaktoren, da er wegen Verhaftungen und Misshandlungen geflüchtet sei, sich seit über zwei Jahren in der Schweiz, die als Hort für LTTE-Sympathisanten eingestuft werde, aufhalte und zwei Brüder gegen Ende des Krieges geflüchtet seien.</w:t>
      </w:r>
    </w:p>
    <w:p>
      <w:r>
        <w:rPr>
          <w:b/>
        </w:rPr>
        <w:t>E. 6.3</w:t>
      </w:r>
    </w:p>
    <w:p>
      <w:r>
        <w:t>Für die Glaubhaftigkeit der Aussagen des Beschwerdeführers spricht, dass er die zeitlichen und örtlichen Angaben zu den Vorfällen, die Reaktion seiner Familie auf die Vorfälle und die Gründe für den Entscheid der Eltern, ihn ins Ausland zu schicken widerspruchlos und nachvollziehbar schilderte. Die Erklärung, er habe sich nicht gegen den sexuellen Missbrauch zur Wehr gesetzt, weil er den beiden bewaffneten Männern körperlich unterlegen gewesen sei und sie ihm mit dem Tod gedroht hätten, erscheint ebenfalls plausibel. Seine Erklärungen zu den Ungereimtheiten betreffend den Weg zum Militärcamp, die im Militärcamp anwesenden Personen und sein Versteck, als ihn die Soldaten ein drittes Mal hätten abholen wollen, vermögen indes nicht zu überzeugen. So hat er an der Erstanhörung ausdrücklich gesagt, sie hätten zum Militärcamp beide Male nicht die Hauptstrasse, sondern die Nebenstrasse genommen, während er an der Zweitanhörung die Hauptstrasse als Weg angab (act. A25/24 F 123; A29/13 F 12). Seine Angabe an der Zweitanhörung zu den anwesenden Personen, er habe niemanden gesehen, bezog sich auf beide Aufenthalte im Militärcamp (act. A23/13 F 35). Dies steht im Widerspruch zur Aussage an der Erstanhörung, wonach sich beim ersten Aufenthalt im Militärcamp verschiedene Personen in verschiedenen Zelten und beim zweiten Aufenthalt zwei Soldaten in einem anderen Zelt befunden hätten (act. A25/24 F 102 und F 124). Den Widerspruch bezüglich des Verstecks (hinter dem Haus bzw. im hinteren Zimmer) konnte er nicht entkräften. Die Frage der Glaubhaftigkeit der Vorbringen des Beschwerdeführers kann indes aufgrund der nachfolgenden Ausführungen offenbleiben. Für die Bejahung einer asylrelevanten Verfolgung nach Art. 3 AsylG muss die betroffene Person die ernsthaften Nachteile wegen ihrer Rasse, Religion, Nationalität, Zugehörigkeit zu einer bestimmten sozialen Gruppe oder wegen ihrer politischen Anschauungen erlitten haben. Es ist nicht in Abrede zu stellen, dass sexuelle Gewalt in der Vergangenheit durch Soldaten oder Polizisten auch gezielt als Folterinstrument bei Verdacht auf Verbindungen zu den LTTE eingesetzt worden ist (Urteil des BVGer D-3073/2017 vom 14. November 2018 E. 4.2). Der Beschwerdeführer war indes nicht bei den LTTE und wurde von den sri-lankischen Behörden auch nie verdächtigt, Sympathisant der LTTE zu sein. Ein Bruder war bei den LTTE und ist in einem Gefecht getötet worden. Der Beschwerdeführer gab dazu an, er und seine Familie hätten deswegen keine Probleme mit den Behörden gehabt (act. A25/24 F 54). Die zwei Männer hätten ihn wegen der zwei im Ausland lebenden Brüder mitgenommen. Die Brüder sind nach Problemen mit den LTTE im Jahr 2007 beziehungsweise 2008 ausgereist. Zu diesem Zeitpunkt war der Beschwerdeführer acht beziehungsweise neun Jahre alt. Vom Jahr 2008 bis zum ersten Vorfall im September 2015 wurden er und seine Familie nie von den sri-lankischen Behörden behelligt. Im September 2015 kamen die Soldaten vorbei und verlangten ausdrücklich den Beschwerdeführer, um ihn über seine beiden Brüder zu befragen. Hätten die Soldaten tatsächlich Auskünfte über die Brüder gewollt, so wäre es naheliegend gewesen, seine Eltern dazu zu befragen statt den Beschwerdeführer, der sich kaum mehr an die Brüder erinnern kann und nur weiss, dass sie wegen irgendwelcher Probleme mit den LTTE ausgereist sind. Ein weiterer Hinweis, dass die Soldaten den Beschwerdeführer nur für den sexuellen Missbrauch und nicht zwecks Informationsbeschaffung zu den Brüdern mitnahmen, ist, dass die Soldaten dem Beschwerdeführer lediglich auf dem Weg ins Militärcamp ein paar Fragen zu den Brüdern gestellt haben. Im Militärcamp missbrauchten sie ihn sexuell und liessen ihn, ohne weitere Fragen zu stellen, wieder gehen (act. A25/24 F 161). Der Beschwerdeführer gab denn auch selbst an, die Soldaten hätten sich nur nach seinen Brüdern erkundigt, weil sie einen Grund gesucht hätten, ihn mitzunehmen (act. A25/24 F 77). Insgesamt ist daher davon auszugehen, dass der sexuelle Missbrauch des Beschwerdeführers nicht auf einem asylbeachtlichen Motiv beruht, sondern kriminell motiviert war (vgl. Urteile des BVGer D-1125/2017 vom 15. November 2017 E. 7.2; D-3073/2017 E. 4.2). Es gibt zudem keine Hinweise, dass der sri-lankische Staat den sexuellen Missbrauch im vorliegenden Fall angeordnet oder bei Bekanntwerden geschützt hätte, zumal der Beschwerdeführer selbst annahm, dass die Soldaten ihn absichtlich zu einem Zeitpunkt missbrauchten, als die anderen Soldaten nicht im Militärcamp waren (act. 29/13 F 37). An der Schlussfolgerung, dass der sexuelle Missbrauch nicht aus einem asylrelevanten Motiv heraus erfolgte, ändern auch die eingereichten Beweismittel nichts. Sie dienen lediglich als Beleg für den Tod seines Bruders und den Aufenthalt eines Bruders sowie einer Tante in Frankreich und den sexuellen Missbrauch.</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7.2</w:t>
      </w:r>
    </w:p>
    <w:p>
      <w:r>
        <w:t>Der Beschwerdeführer war nie Mitglied der LTTE und wurde von den Behörden auch nicht als Sympathisant der LTTE eingestuft. Ein Bruder war zwar bei den LTTE und wurde im Jahr 2009 in einem Gefecht getötet, aber die Familie bekam deswegen nie Probleme mit den Behörden. Die zwei im Ausland lebenden Brüder waren ebenfalls kein Anlass für behördliche Behelligungen (vgl. E. 6.3). Des Weiteren wurde der Beschwerdeführer weder verhaftet noch einer Straftat angeklagt oder gar verurteilt und verfügt somit auch nicht über einen Strafeintrag. Er ist nicht exilpolitisch tätig. Allein aus der tamilischen Ethnie und der mittlerweile knapp dreieinhalbjährigen Landesabwesenheit kann er keine Gefährdung ableiten. Dass er in einer "Stop List" aufgeführt sein soll, ist aufgrund des Gesagten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7.3</w:t>
      </w:r>
    </w:p>
    <w:p>
      <w:r>
        <w:t>Zusammenfassend hat der Beschwerdeführer nichts vorgebracht, was geeignet wäre, seine Flüchtlingseigenschaft nachzuweisen oder zumindest glaubhaft zu machen. Die Vorinstanz hat sein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6.3 und 7.2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neusten als Referenzurteil publizierten Entscheid erachtet das Bundesverwaltungsgericht auch den Wegweisungsvollzug ins Vanni-Gebiet als zumutbar (Urteil D-3619/2016 vom 16. Oktober 2017 E. 9.5). Daran vermögen auch die Anschläge am 22. April 2019 und der gleichentags von der sri-lankischen Regierung verhängte Ausnahmezustand (Neue Zürcher Zeitung [NZZ] vom 23. April 2019, Sri Lanka: Colombo spricht von islamistischem Terror, &lt; https://www.nzz.ch/.../sri-lanka-colombo-spricht-von-islamistischem-terror-ld.1476769 &gt;, abgerufen am 13.06.2019) nichts zu ändern (Urteil des BVGer D-2361/2019 vom 2. Juli 2019 E. 9.3). Der Beschwerdeführer lebte vor seiner Ausreise in B._______ im Distrikt C._______, Nordprovinz. Er wohnte bei seinen Eltern und half seinem Vater in der Fischerei. Es ist anzunehmen, dass er nach seiner Rückkehr wieder bei seinen Eltern wohnen und diese Tätigkeit wieder aufnehmen kann. Zudem verfügt er mit seinen Eltern und seinem jüngeren Bruder über ein tragfähiges familiäres Beziehungsnetz in Sri Lanka, das in der Lage sein sollte, ihn bei der Wiedereingliederung zu unterstützen. Gemäss dem eingereichten Arztbericht vom 21. September 2017 leidet der Beschwerdeführer an einer posttraumatischen Belastungsstörung ohne Selbst- oder Fremdgefährdung. Er wird nicht medikamentös behandelt. Dem Länderinformationsblatt der International Organization for Migration (IOM) vom Juni 2014 ist zu entnehmen, dass Sri Lanka grosse Fortschritte hinsichtlich der medizinischen Versorgung gemacht hat und die Investitionen ins Gesundheitswesen zugenommen haben. Die IOM führt in ihrem Bericht aus, staatliche Krankenhäuser seien in jeder grösseren Stadt angesiedelt und würden über modernste Geräte verfügen, sodass sie viele Behandlungsmethoden anbieten könnten. Die medizinischen Dienstleistungen seien in der Regel kostenlos. Zusätzlich gebe es sehr viele sehr gut ausgestattete Privatkliniken. Diese seien jedoch in der Regel teuer (International Organization for Migration (IOM), Länderinformationsblatt - Sri Lanka, 06.2014, http://www.bamf.de/SharedDocs/MILo-DB/DE/Rueckkehrfoerderung/Laenderinformationen/Informationsblaetter/cfs_sri-lanka-dl_de.pdf;jsessionid=129A642CCB742AC2E7B0C0A694A8FCFB.1_cid294?__blob=publicationFile &gt;, abgerufen am 25.07.2019). Zudem befinden sich in Sri Lanka 23 Spitäler mit psychiatrischen Abteilungen zur stationären Betreuung und über 300 Kliniken für ambulante Behandlungen psychisch kranker Patienten (Ministry of Health, Nutrition and Indigenous Medicine Sri Lanka, Annual Health Bulletin 2014, published in 2016, &lt; http://www.health.gov.lk/moh_final/english/public/elfinder/files/publications/AHB/AHB2014.pdf &gt;, abgerufen am 28.01.2019; Sri Lankan Ministery of Health, Performance and Progress Report 2012-2013, &lt; http://www.health.gov.lk/en/publication/P-PReport2012.pdf/PerformanceReport2012-E.pdf &gt;, abgerufen am 25.07.2019). Der Beschwerdeführer befindet sich wegen seiner psychischen Probleme nicht in medizinischer Behandlung. Sollte eine solche Behandlung künftig nötig sein, so ist diese auch in Sri Lanka durchführbar. Der Vollzug erweist sich deshalb auch in individueller Hinsicht als zumutbar.</w:t>
      </w:r>
    </w:p>
    <w:p>
      <w:r>
        <w:rPr>
          <w:b/>
        </w:rPr>
        <w:t>E. 9.4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9.5</w:t>
      </w:r>
    </w:p>
    <w:p>
      <w:r>
        <w:t>Die Vorinstanz hat somit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Mit Zwischenverfügung vom 21. September 2017 wurden die Gesuche um Gewährung der unentgeltlichen Prozessführung und Beiordnung einer amtlichen Rechtsbeiständin gutgeheissen. Es sind somit keine Verfahrenskosten zu erheben.</w:t>
      </w:r>
    </w:p>
    <w:p>
      <w:r>
        <w:rPr>
          <w:b/>
        </w:rPr>
        <w:t>E. 11.2</w:t>
      </w:r>
    </w:p>
    <w:p>
      <w:r>
        <w:t>Die amtliche Rechtsbeiständin des Beschwerdeführers reichte keine Kostennote ein. Der Aufwand lässt sich allerdings aufgrund der Akten zuverlässig abschätzen (Art. 14 Abs. 2 VGKE). In Anwendung der massgeblichen Bemessungsfaktoren (vgl. Art. 8-11 VGKE) ist das Honorar auf Fr. 2'250.- (inkl. Auslagen) festzusetzen. Dieser Betrag ist lic. iur. Monique Bremi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