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E-4554/2020 vom 26. November 2024</w:t>
      </w:r>
    </w:p>
    <w:p>
      <w:r>
        <w:t>Bundesverwaltungsgericht, 2024-11-26, DE</w:t>
      </w:r>
    </w:p>
    <w:p>
      <w:r>
        <w:rPr>
          <w:b/>
        </w:rPr>
        <w:t xml:space="preserve">Quelle: </w:t>
      </w:r>
      <w:r>
        <w:t>https://mcp.opencaselaw.ch/entscheid/bvger_E-4554_2020</w:t>
      </w:r>
    </w:p>
    <w:p>
      <w:r>
        <w:t>FR: TAF E-4554/2020 du 26 novembre 2024</w:t>
      </w:r>
    </w:p>
    <w:p>
      <w:r>
        <w:t>IT: TAF E-4554/2020 del 26 novembre 2024</w:t>
      </w:r>
    </w:p>
    <w:p>
      <w:pPr>
        <w:pStyle w:val="Heading2"/>
      </w:pPr>
      <w:r>
        <w:t>Regeste</w:t>
      </w:r>
    </w:p>
    <w:p>
      <w:r>
        <w:t>Familienzusammenführung (Asyl)</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als Verfügungsadressat zur Einreichung der Be- schwerde legitimiert (Art. 105 und Art. 108 Abs. 6 AsylG; Art. 48 Abs. 1 so- wie Art. 52 Abs. 1 VwVG). Auf die Beschwerde ist einzutreten.</w:t>
      </w:r>
    </w:p>
    <w:p>
      <w:r>
        <w:t>E-4554/2020 Seite 8</w:t>
      </w:r>
    </w:p>
    <w:p>
      <w:r>
        <w:rPr>
          <w:b/>
        </w:rPr>
        <w:t>E. 2</w:t>
      </w:r>
    </w:p>
    <w:p>
      <w:r>
        <w:t>Die Kognition des Bundesverwaltungsgerichts und die zulässigen Rügen richten sich im Asylbereich nach Art. 106 Abs. 1 AsylG.</w:t>
      </w:r>
    </w:p>
    <w:p>
      <w:r>
        <w:rPr>
          <w:b/>
        </w:rPr>
        <w:t>E. 3.1</w:t>
      </w:r>
    </w:p>
    <w:p>
      <w:r>
        <w:t>Nach Art. 51 Abs. 1 AsylG werden Ehegatten von Flüchtlingen und ihre minderjährigen Kinder unter dem Titel Familienasyl als Flüchtlinge aner- kannt und erhalten Asyl, wenn keine besonderen Umstände dagegenspre- chen. Wurden die anspruchsberechtigten Personen durch die Flucht ge- trennt und befinden sie sich im Ausland, ist ihre Einreise auf Gesuch hin zu bewilligen (Art. 51 Abs. 4 AsylG).</w:t>
      </w:r>
    </w:p>
    <w:p>
      <w:r>
        <w:rPr>
          <w:b/>
        </w:rPr>
        <w:t>E. 3.2</w:t>
      </w:r>
    </w:p>
    <w:p>
      <w:r>
        <w:t>Mit dem sogenannten «Familienasyl» erhalten die Angehörigen der Kernfamilie die gleiche Rechtsstellung und damit auch denselben flücht- lingsrechtlichen Schutz wie der zum Nachzug der Familie berechtigte an- erkannte Flüchtling (vgl. Urteile des BVGer E-3114/2023 vom 12. Juni 2023 E. 4 und E-3471/2022 vom 4. September 2023 E. 3.2). Die Einreisebewil- ligung zwecks Gewährung des Familienasyls wird denjenigen Familienmit- gliedern erteilt, die mit dem in der Schweiz als Flüchtling anerkannten und asylberechtigten Mitglied in einer (vorbestehenden) Familiengemeinschaft gelebt haben, wobei die Familiengemeinschaft durch die Flucht desselben getrennt wurde. Die Einreisebewilligung dient demnach der Wiederherstel- lung von Familiengemeinschaften, die durch die Flucht getrennt wurden, hingegen nicht der Aufnahme von neuen oder der Wiederaufnahme von beendeten Beziehungen (vgl. BVGE 2018 VI/6, 2017/VI/4 E. 3.1 und 4.4.1 sowie 2012/32 E. 5.4.2).</w:t>
      </w:r>
    </w:p>
    <w:p>
      <w:r>
        <w:rPr>
          <w:b/>
        </w:rPr>
        <w:t>E. 3.3</w:t>
      </w:r>
    </w:p>
    <w:p>
      <w:r>
        <w:t>Für die Beurteilung der Minderjährigkeit der Kinder ist gemäss konstan- ter Rechtsprechung des Bundesverwaltungsgerichts das Alter der Kinder im Zeitpunkt der Einreichung des Gesuchs um Familienasyl beziehungs- weise -nachzug massgeblich (vgl. BVGE 2020 VI/7 E. 2.1 f und 2.4 m.w.H., vgl. auch Urteil des BVGer E-3471/2022 vom 4. September 2023 E. 7.1- 7.4 m.w.H.).</w:t>
      </w:r>
    </w:p>
    <w:p>
      <w:r>
        <w:rPr>
          <w:b/>
        </w:rPr>
        <w:t>E. 3.4</w:t>
      </w:r>
    </w:p>
    <w:p>
      <w:r>
        <w:t>Wer um Erteilung einer Einreisebewilligung zum Zweck des Familien- asyls ersucht, hat die Zugehörigkeit des nachzuziehenden Angehörigen zur Familiengemeinschaft, die im Zeitpunkt der Flucht vorbestandene Fa- miliengemeinschaft, die Familientrennung durch Flucht sowie die fest be- absichtigte Familienvereinigung beider Anspruchsberechtigten nachzuwei- sen oder zumindest glaubhaft zu machen (Art. 7 AsylG).</w:t>
      </w:r>
    </w:p>
    <w:p>
      <w:r>
        <w:t>E-4554/2020 Seite 9</w:t>
      </w:r>
    </w:p>
    <w:p>
      <w:r>
        <w:rPr>
          <w:b/>
        </w:rPr>
        <w:t>E. 4.1</w:t>
      </w:r>
    </w:p>
    <w:p>
      <w:r>
        <w:t>In der angefochtenen Verfügung hielt die Vorinstanz im Wesentlichen fest, der Beschwerdeführer sei am 3. Juni 2010 in der Schweiz als Flücht- ling anerkannt und ihm sei Asyl gewährt worden. Er habe das Familienzu- sammenführungsgesuch für seine minderjährige Tochter B._______ ein- gereicht. Gemäss derzeitiger Aktenlage sei zwar davon auszugehen, dass er der Vater von B._______ sei. Er habe sich einem DNA-Test unterzogen und gemäss Gutachten zur Abstammungsuntersuchung vom 5. Dezember 2019 werde die Vaterschaft bestätigt. Das Abstammungsverhältnis zwi- schen der geltend gemachten Mutter und der Tochter B._______ könne jedoch nicht als erstellt erachtet werden. Die Vorinstanz habe dem Be- schwerdeführer mehrmals vorgeschlagen, die Mutterschaft mittels eines DNA-Tests nachzuweisen. Es spiele keine Rolle, dass aufgrund der finan- ziellen Verhältnisse der getrennten beziehungsweise geschiedenen Ehe- frau des Beschwerdeführers kein DNA-Test möglich sei. Sämtliche Kosten dafür würden zu Lasten des Beschwerdeführers gehen und Gründe, wes- halb er diese nicht übernehmen könnte, führe er nicht an. Dem Vorschlag, den Test nach der erfolgten Einreise in der Schweiz durchzuführen, könne aus nachvollziehbaren Gründen nicht gefolgt werden. Die Vorinstanz be- absichtige mit ihrer Praxis, das Abstammungsverhältnis zwischen beiden Elternteilen und den geltend gemachten minderjährigen Kindern vor der Einreise in die Schweiz abzuklären, um allfälligen Kindesentführungen ent- gegenzuwirken. Auch im vorliegenden Fall seien solche Vorsichtsmass- nahmen zum Wohle des Kindes vorzunehmen. Somit stünden besondere Umstände einer Familienzusammenführung im Wege. An dieser Einschät- zung könnten auch die eingereichten Beweismittel nichts ändern, zumal diese die Frage nach dem Abstammungsverhältnis zwischen der getrenn- ten beziehungsweise geschiedenen Ehefrau des Beschwerdeführers und seiner Tochter nicht zu klären vermöchten.</w:t>
      </w:r>
    </w:p>
    <w:p>
      <w:r>
        <w:rPr>
          <w:b/>
        </w:rPr>
        <w:t>E. 4.2</w:t>
      </w:r>
    </w:p>
    <w:p>
      <w:r>
        <w:t>Dem wird in der Beschwerde vom 14. September 2020 entgegenge- halten, B._______ könne sich als leibliche Tochter des Beschwerdeführers auf Art. 51 Abs. 1 und 4 AsylG berufen. Im vorliegenden Fall bestünden keine begründeten Zweifel an den Familienverhältnissen. Hierzu sei insbe- sondere darauf hinzuweisen, dass die Vorinstanz selbst das damalige, 2017 abgeschriebene, Gesuch der getrennten beziehungsweise geschie- denen Ehefrau des Beschwerdeführers betreffend Tochter B._______ im April 2014 gutgeheissen – mithin das bestehende Familienverhältnis als gegeben anerkannt habe. Es sei nicht ersichtlich und werde von der Vorinstanz auch nicht dargelegt, inwiefern zum heutigen Zeitpunkt in Ab- weichung zum früheren und durch die Mutter initiierten Verfahren</w:t>
      </w:r>
    </w:p>
    <w:p>
      <w:r>
        <w:t>E-4554/2020 Seite 10 begründete Zweifel am Familienverhältnis bestehen sollten. Die Vorinstanz verkenne, dass auch der Beschwerdeführer in knappen finanziellen Ver- hältnissen lebe und mit einem DNA-Test erhebliche Kosten verbunden seien. Er habe schon seinen eigenen Test nur mit Mühe finanziert. Schliesslich sei das Familienverhältnis zwischen ihm und seiner Tochter entsprechend zweifelsfrei nachgewiesen. Soweit ersichtlich seien die Voraussetzungen gegeben. Hinzu komme, dass B._______ mittlerweile (…) sei und schon ein Jahr lang unbegleitet in Äthiopien in schwierigen Lebensumständen lebe. Ihre altersgerechte Entwicklung werde blockiert. Ihr Wunsch, zu ihrem Vater in die Schweiz zu übersiedeln, sei auf Basis der Akten als klar erstellt zu betrachten. Damit werde auch dem Kindeswohl Rechnung getragen. Angesichts der klaren Aktenlage betreffend die Fami- lienverhältnisse lägen keine besonderen Umstände vor, die eine Verweige- rung der Familienzusammenführung zu rechtfertigen vermöchten.</w:t>
      </w:r>
    </w:p>
    <w:p>
      <w:r>
        <w:rPr>
          <w:b/>
        </w:rPr>
        <w:t>E. 5</w:t>
      </w:r>
    </w:p>
    <w:p>
      <w:r>
        <w:t>Beilagen 1-4).</w:t>
      </w:r>
    </w:p>
    <w:p>
      <w:r>
        <w:rPr>
          <w:b/>
        </w:rPr>
        <w:t>E. 5.1</w:t>
      </w:r>
    </w:p>
    <w:p>
      <w:r>
        <w:t>Zunächst hält das Bundesverwaltungsgericht Folgendes fest: Der Be- schwerdeführer ist ein in der Schweiz anerkannter Flüchtling mit Asylbe- rechtigung. Mit dem DNA-Test hat er die Vaterschaft zu B._______ nach- gewiesen. Damit besteht kein Zweifel, dass die nachzuziehende Tochter ein Familienmitglied im Sinne von Art. 51 AsylG ist, mithin ihre Identität und das Abstammungsverhältnis zum Vater feststeht.</w:t>
      </w:r>
    </w:p>
    <w:p>
      <w:r>
        <w:rPr>
          <w:b/>
        </w:rPr>
        <w:t>E. 5.2</w:t>
      </w:r>
    </w:p>
    <w:p>
      <w:r>
        <w:t>Hinsichtlich der Mutterschaft reichte der gesuchstellende Beschwerde- führer keinen DNA-Test ein, obwohl die Vorinstanz dies in vier Instruktions- schreiben verlangt hatte (vgl. dazu SEM-Akten 1053618 – 2, 6, 8 und 10). Aufgrund dieser Aktenlage bestehen Unklarheiten in Bezug auf die biologi- sche Mutterschaft. Aus den Asylakten geht hervor, dass der Beschwerde- führer und C._______ seit dem 12. Februar 2003 verheiratet waren, wobei der Beschwerdeführer für diesen Anlass zwei Wochen Ferien hatte und danach wieder den Militärdienst antreten musste, bis er schliesslich am 24. Mai 2007 desertierte und Eritrea verliess (SEM-Akten: Befragungspro- tokoll des Beschwerdeführers vom 24. Februar 2010 [A11] F76-78, F86, F107 f., F125 f.; Befragungsprotokoll von C._______ vom 29. Juni 2011 [B4] S. 5). Zuletzt hatten sich die beiden anfangs 2004 – und damit noch vor der Geburt von B._______ – getroffen, als der Vater wegen Gesund- heitsproblemen für etwa sieben Tage zuhause war (A11 F117-124). C._______ gab an, sie sei bei diesem Treffen schwanger geworden (B4 S. 5). Zwar kam C._______ den Beschwerdeführer gemäss seinen Aussa- gen zwischen der Heirat im Februar 2003 und ihrem letzten Treffen an- fangs 2004 besuchen (vgl. A11 F128) und sie waren zum Zeitpunkt der</w:t>
      </w:r>
    </w:p>
    <w:p>
      <w:r>
        <w:t>E-4554/2020 Seite 11 Geburt von B._______ weiterhin verheiratet. Doch mit der Aussage von C._______ zum Zeitpunkt des Eintritts der Schwangerschaft ist das Ge- burtsdatum von B._______, am (…), vom zeitlichen Ablauf her schwer ver- einbar. Unabhängig davon, ob das Beweismass der Glaubhaftmachung bezüglich der biologischen Mutterschaft von C._______ damit erreicht wer- den kann, ist im vorliegenden Fall festzuhalten, dass die erste Einreisebe- willigung gestützt auf das Gesuch von C._______ bewilligt worden war). Letztlich kann die Frage einer biologischen oder allfälligen Stiefkindbezie- hung von B._______ zu C._______ aufgrund der nachfolgenden Erwä- gung 5.5 offengelassen werden.</w:t>
      </w:r>
    </w:p>
    <w:p>
      <w:r>
        <w:rPr>
          <w:b/>
        </w:rPr>
        <w:t>E. 5.3</w:t>
      </w:r>
    </w:p>
    <w:p>
      <w:r>
        <w:t>Festzustellen ist ferner, dass der Beschwerdeführer das zweite Gesuch am 11. Oktober 2019 einreichte. B._______ war zu diesem Zeitpunkt (…) Jahre alt und damit noch minderjährig.</w:t>
      </w:r>
    </w:p>
    <w:p>
      <w:r>
        <w:rPr>
          <w:b/>
        </w:rPr>
        <w:t>E. 5.4</w:t>
      </w:r>
    </w:p>
    <w:p>
      <w:r>
        <w:t>Im Asylverfahren hatte der Beschwerdeführer angegeben, die Tochter B._______ nach ihrer Geburt am (…) bis zu seiner Ausreise aus Eritrea am 24. Mai 2007 nicht gesehen zu haben (A11 F117-124). Grundsätzlich ist es zwar auch bei einem noch ungeborenen Kind möglich, dass wegen des zivilen Nationaldienstes (oder Militärdienstes) des Vaters zwingende Gründe für das Getrenntleben in der Heimat angenommen werden, wes- halb gegebenenfalls dennoch von einer vorbestandenen gelebten Famili- engemeinschaft ausgegangen werden kann (vgl. BVGE 2018 VI/6 E. 5.2 ff.). Im vorliegenden Fall allerdings gab der Beschwerdeführer im vo- rinstanzlichen Verfahren bezüglich Familienzusammenführung jedoch nun- mehr an, er habe seit ihrer Geburt mit der Tochter in Eritrea zusammenge- lebt (SEM-Akten 1053618-1 und 7), weshalb hinsichtlich der im Zeitpunkt der Flucht vorbestandenen Familiengemeinschaft zwischen dem Be- schwerdeführer und seiner Tochter Widersprüche bestehen. Auch diese Frage kann letztlich offengelassen werden, da das Gesuch um Familien- zusammenführung aus den nachfolgenden Gründen ohnehin abzuweisen ist.</w:t>
      </w:r>
    </w:p>
    <w:p>
      <w:r>
        <w:rPr>
          <w:b/>
        </w:rPr>
        <w:t>E. 5.5</w:t>
      </w:r>
    </w:p>
    <w:p>
      <w:r>
        <w:t>Selbst bei Annahme einer vorbestandenen Familiengemeinschaft ist wie im Folgenden ausgeführt das Erfordernis einer fest beabsichtigten Fa- milienvereinigung beider Anspruchsberechtigten vorliegend nicht hinrei- chend glaubhaft dargetan:</w:t>
      </w:r>
    </w:p>
    <w:p>
      <w:r>
        <w:rPr>
          <w:b/>
        </w:rPr>
        <w:t>E. 5.5.1</w:t>
      </w:r>
    </w:p>
    <w:p>
      <w:r>
        <w:t>Zwar gab der Beschwerdeführer an, er habe nach seiner Flucht tele- fonischen Kontakt zu B._______ gehabt und unterstütze sie seit langem finanziell. Hierfür reichte er jedoch keine Beweismittel ein und aus diesen</w:t>
      </w:r>
    </w:p>
    <w:p>
      <w:r>
        <w:t>E-4554/2020 Seite 12 dürftigen und unsubstanziierten Angaben geht nicht hervor, dass er die Be- ziehung zu seiner Tochter seit seiner Ausreise im Jahr 2007 bis heute un- unterbrochen gepflegt hatte. Daran vermögen auch die beiden Besuche in Äthiopien in den Jahren 2019 und 2021 nichts zu ändern, zumal diese erst stattfanden, als die Tochter B._______ bereits (…) beziehungsweise (…) Jahre alt war (vgl. SEM-Akten 1053616-7 Beilagen 3-6, BVGer-Akten</w:t>
      </w:r>
    </w:p>
    <w:p>
      <w:r>
        <w:rPr>
          <w:b/>
        </w:rPr>
        <w:t>E. 5.5.2</w:t>
      </w:r>
    </w:p>
    <w:p>
      <w:r>
        <w:t>Vor allem aber vermochte der Beschwerdeführer die kumulative Voraussetzung nicht glaubhaft darzutun, dass er eine rasche Wiederverei- nigung der Familie angestrebt hatte. Der Beschwerdeführer ist seit dem 3. Juni 2010 anerkannter Flüchtling in der Schweiz. Als er am 6. Januar 2011 ein Gesuch um Familienzusammenführung für seine damals in Äthi- opien befindliche Ehefrau stellte, hätte er ein solches zugleich für seine Tochter einreichen können. Aus welchen Gründen er dies zum damaligen Zeitpunkt unterlassen hat, geht aus den Akten nicht hervor. Nachdem die Vorinstanz gestützt auf das Gesuch vom 25. April 2012 und vom 22. Au- gust 2012 die Einreisebewilligung am 28. April 2014 dennoch erteilt hatte und B._______ angeblich wegen einer Inhaftierung beziehungsweise aus gesundheitlichen Gründen bei einem Ausreiseversuch von Eritrea nach Äthiopien umkehren musste, unternahm sie erst im September 2019 einen weiteren – und erfolgreichen – Ausreiseversuch. Das neue Gesuch um Ein- reisebewilligung erfolgte am 11. Oktober 2019 und damit mehr als fünf Jahre nach der ersten Einreisebewilligung, beziehungsweise zwei Jahre, nach Abschreibung der ersten Einreisebewilligung (9. Oktober 2017). Auf- grund der Aktenlage erschliesst sich nicht, weshalb während dieser langen Zeitspanne keine Ausreise für B._______ möglich gewesen sein soll. Die auch diesbezüglich nicht substanziierten Angaben des Beschwerdeführers in diesem Zusammenhang vermögen daran nichts zu ändern. Vielmehr ist aufgrund der langen und nicht erklärbaren Untätigkeit des Beschwerdefüh- rers auf einen mangelnden Willen auf (Wieder-)Vereinigung der Familien- gemeinschaft zu schliessen.</w:t>
      </w:r>
    </w:p>
    <w:p>
      <w:r>
        <w:rPr>
          <w:b/>
        </w:rPr>
        <w:t>E. 6</w:t>
      </w:r>
    </w:p>
    <w:p>
      <w:r>
        <w:t>Aus diesen Erwägungen ergibt sich, dass die angefochtene Verfügung Bundesrecht nicht verletzt, den rechtserheblichen Sachverhalt richtig so- wie vollständig feststellt (Art. 106 Abs. 1 AsylG). Die Beschwerde ist abzu- weisen.</w:t>
      </w:r>
    </w:p>
    <w:p>
      <w:r>
        <w:rPr>
          <w:b/>
        </w:rPr>
        <w:t>E. 7</w:t>
      </w:r>
    </w:p>
    <w:p>
      <w:r>
        <w:t>Bei diesem Ausgang des Verfahrens wären die Kosten dem Be-</w:t>
      </w:r>
    </w:p>
    <w:p>
      <w:r>
        <w:t>E-4554/2020 Seite 13 schwerdeführer aufzuerlegen (Art. 63 Abs. 1 VwVG). Da ihm mit Zwischen- verfügung vom 17. September 2020 die unentgeltliche Prozessführung im Sinne von Art. 65 Abs. 1 VwVG gewährt worden und nicht von einer Ver- änderung der finanziellen Verhältnisse auszugehen ist, sind trotz des Un- terliegens keine Verfahrenskosten zu erheben.</w:t>
      </w:r>
    </w:p>
    <w:p>
      <w:r>
        <w:t>(Dispositiv nächste Seite)</w:t>
      </w:r>
    </w:p>
    <w:p>
      <w:r>
        <w:t>E-4554/2020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