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E-4552/2017 vom 10. Januar 2018</w:t>
      </w:r>
    </w:p>
    <w:p>
      <w:r>
        <w:t>Bundesverwaltungsgericht, 2018-01-10, DE</w:t>
      </w:r>
    </w:p>
    <w:p>
      <w:r>
        <w:rPr>
          <w:b/>
        </w:rPr>
        <w:t xml:space="preserve">Quelle: </w:t>
      </w:r>
      <w:r>
        <w:t>https://mcp.opencaselaw.ch/entscheid/bvger_E-4552_2017</w:t>
      </w:r>
    </w:p>
    <w:p>
      <w:r>
        <w:t>FR: TAF E-4552/2017 du 10 janvier 2018</w:t>
      </w:r>
    </w:p>
    <w:p>
      <w:r>
        <w:t>IT: TAF E-4552/2017 del 10 gennaio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Abs. 1 VwVG). Auf die frist- und formgerecht eingereichte Beschwerde (Art. 112b Abs. 3 AsylG in Verbindung mit Art. 38 der Testphasenverordnung vom 4. September 2013 [TestV, SR 142.318.1]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3.1</w:t>
      </w:r>
    </w:p>
    <w:p>
      <w:r>
        <w:t>Die Beschwerdeführerin rügt in der Rechtsmitteleingabe vorab eine Verletzung des Untersuchungsgrundsatzes gemäss Art. 12 VwVG durch die Vorinstanz. Das aktuelle Referenzurteil des Bundesverwaltungsgerichts D-7853/2015 hätte berücksichtigt werden müssen. Die textbausteinartigen Begründungen und Behauptungen würden eine Missachtung dieser Rechtsprechung und jener des EGMR darstellen. Es wäre zu erwarten gewesen, dass die Vorinstanz sich näher mit dem genannten Referenzurteil auseinandersetze und begründe, inwiefern ihre Entscheidfindung den Forderungen des Bundesverwaltungsgerichts genüge. Die Vorinstanz sei ihrer Prüfungspflicht nicht nachgekommen.</w:t>
      </w:r>
    </w:p>
    <w:p>
      <w:r>
        <w:rPr>
          <w:b/>
        </w:rPr>
        <w:t>E. 3.2</w:t>
      </w:r>
    </w:p>
    <w:p>
      <w:r>
        <w:t>Die Vorinstanz hält in ihrer Vernehmlassung hinsichtlich der Nichtberücksichtigung des vorgenannten Referenzurteils fest, es handle sich beim vorliegenden Fall um eine sehr aussergewöhnliche Konstellation, welche nicht mit den regulären Dublin-Wegweisungen verglichen werden könne. Der Ehemann der Beschwerdeführerin sei seit dem 11. August 2014 in Ungarn als Flüchtling anerkannt. Deshalb hätten die ungarischen Behörden der Beschwerdeführerin und ihrer Tochter im Rahmen des Familiennachzugs die Einreise ermöglicht. Dies habe zur Wiedervereinigung der Familie im Jahr 2016 geführt. Die Vorinstanz habe somit keinerlei Zweifel daran, dass die Beschwerdeführerin mit ihren beiden Töchtern bei einer Rückkehr nach Ungarn Zugang zum Asylverfahren erhalte und die Familieneinheit gewahrt werde.</w:t>
      </w:r>
    </w:p>
    <w:p>
      <w:r>
        <w:rPr>
          <w:b/>
        </w:rPr>
        <w:t>E. 4.1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Das Bundesverwaltungsgericht hat im Referenzurteil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neue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Es hat die angefochtene Verfügung aufgehoben und die Sache zur neuen Entscheidung an die Vorinstanz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4.3</w:t>
      </w:r>
    </w:p>
    <w:p>
      <w:r>
        <w:t>Mit der Vorinstanz ist festzustellen, dass es sich vorliegend insofern um eine spezielle Konstellation handelt, als der Ehemann der Beschwerdeführerin in Ungarn als Flüchtling anerkannt wurde und die Beschwerdeführerin sich mit den Töchtern in einem Dublin-Verfahren befindet. Die blosse Feststellung der Vorinstanz, die Beschwerdeführerin und ihre Tochter hätten im Rahmen des Familiennachzugs legal mit einem Schengenvisum nach Ungarn reisen können, reicht als Begründung aber nicht aus, um das erwähnte Referenzurteil gänzlich auszublenden. Die Vorinstanz hat es unterlassen, auch nur ansatzweise zu prüfen, welche Bedingungen die Beschwerdeführerin und ihre Töchter bei der Durchführung ihres Asyl- und Wegweisungsverfahrens, namentlich in Anbetracht der vorgenannten Verschärfung der Asylgesetze in Ungarn, bei einer Rückkehr vorfinden würden. Ebenfalls unklar ist, ob die Beschwerdeführerin und die beiden Kinder während des Verfahrens überhaupt zusammen mit ihrem Ehemann beziehungsweise Vater leben können oder sie den Ausgang des Verfahrens in einer Transit- oder "Prätransitzone" abwarten müssen. Darüber hinaus wurde im vorliegenden Verfahren nicht auf die ganz besondere Situation einer Mutter mit zwei kleinen Kindern eingegangen und insoweit auch nicht das Kindeswohl beachtet. In diesem Zusammenhang gilt es auch, das eingereichte E-Mail von H._______ vom G._______ vom 16. August 2017 zu beachten. Gemäss diesem konnte für die Familie nach ihrer Ankunft trotz der Hilfe durch die Organisation keine geeignete und dauerhafte Unterkunft gefunden werden, die Familie wurde obdachlos. Weiter wird in diesem Schreiben ausgeführt, das Integrations-System in Ungarn sei schlechter als zuvor. Die Vorinstanz hat somit - wie von der Beschwerdeführerin zu Recht gerügt - ihre Untersuchungspflicht verletzt.</w:t>
      </w:r>
    </w:p>
    <w:p>
      <w:r>
        <w:rPr>
          <w:b/>
        </w:rPr>
        <w:t>E. 4.4</w:t>
      </w:r>
    </w:p>
    <w:p>
      <w:r>
        <w:t>Zusammenfassend ist es dem Gericht vorliegend nicht möglich, den Fall beurteilen zu können. Es erscheint deshalb angezeigt, die Sache gestützt auf Art. 61 Abs. 1 VwVG zwecks Vornahme der erforderlichen Abklärungen - auch unter den Aspekten der Familieneinheit und des Kindeswohls - an die Vorinstanz zurückzuweisen. Die angefochtene Verfügung ist deshalb aufzuheben und die Sache zur vollständigen Sachverhaltsfeststellung sowie zu neuer Entscheidung an die Vorinstanz zurückzuweisen. Die Beschwerde ist gutzuheissen.</w:t>
      </w:r>
    </w:p>
    <w:p>
      <w:r>
        <w:rPr>
          <w:b/>
        </w:rPr>
        <w:t>E. 5.1</w:t>
      </w:r>
    </w:p>
    <w:p>
      <w:r>
        <w:t>Bei diesem Ausgang des Beschwerdeverfahrens sind der Beschwerdeführerin keine Verfahrenskosten aufzuerlegen (vgl. Art. 63 Abs. 1 VwVG).</w:t>
      </w:r>
    </w:p>
    <w:p>
      <w:r>
        <w:rPr>
          <w:b/>
        </w:rPr>
        <w:t>E. 5.2</w:t>
      </w:r>
    </w:p>
    <w:p>
      <w:r>
        <w:t>Mit dem vorliegenden Urteil ist die mit Zwischenverfügung vom 18. August 2017 gewährte unentgeltliche Prozessführung gegenstandslos geworden.</w:t>
      </w:r>
    </w:p>
    <w:p>
      <w:r>
        <w:rPr>
          <w:b/>
        </w:rPr>
        <w:t>E. 5.3</w:t>
      </w:r>
    </w:p>
    <w:p>
      <w:r>
        <w:t>Der vertretenen Beschwerdeführerin wäre angesichts ihres Obsiegens in Anwendung von Art. 64 VwVG und Art. 7 Abs. 1 des Reglements vom 21. Februar 2008 über die Kosten und Entschädigungen vor dem Bundesverwaltungsgericht (VGKE, SR 173.320.2) grundsätzlich eine Entschädigung für die ihr notwendigerweise erwachsenen Parteikosten zuzusprechen. Die Beschwerdeführerin war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aus für die Wahrnehmung der Rechtsvertretung im Beschwerdeverfahren, insbesondere das Verfassen einer Beschwerdeschrift.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