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E-4550/2006 vom 20. Februar 2009</w:t>
      </w:r>
    </w:p>
    <w:p>
      <w:r>
        <w:t>Bundesverwaltungsgericht, 2009-02-20, DE</w:t>
      </w:r>
    </w:p>
    <w:p>
      <w:r>
        <w:rPr>
          <w:b/>
        </w:rPr>
        <w:t xml:space="preserve">Quelle: </w:t>
      </w:r>
      <w:r>
        <w:t>https://mcp.opencaselaw.ch/entscheid/bvger_E-4550_2006</w:t>
      </w:r>
    </w:p>
    <w:p>
      <w:r>
        <w:t>FR: TAF E-4550/2006 du 20 février 2009</w:t>
      </w:r>
    </w:p>
    <w:p>
      <w:r>
        <w:t>IT: TAF E-4550/2006 del 20 febbraio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ihrer Verfügung fest, die Schilderungen des Beschwerdeführers seien ungereimt und widersprüchlich ausgefallen, namentlich beruhe die Asylbegründung auf einer Reihe unwahrscheinlicher Sachverhaltselemente und wirke konstruiert. Beispielsweise sei vor dem soziokulturellen Hintergrund Afghanistans wenig wahrscheinlich, dass eine junge Frau zu einer vorehelichen Beziehung bereit sei; dies umso weniger als diese Frau bereits einem einflussreichen Kommandanten zur Ehefrau versprochen gewesen sei. Weiter sei das Verhalten des Beschwerdeführers nach der angeblichen Entführung nicht nachvollziehbar, wolle er sich doch noch längere Zeit zu Hause aufgehalten haben. Die angebliche Verschleppung, welche der Beschwerdeführer bei der Erstbefragung mit keinem Wort erwähnt habe, erweise sich auch in zeitlicher Hinsicht als widersprüchlich. Insgesamt könnten die geltend gemachten Fluchtgründe nicht geglaubt werden.</w:t>
      </w:r>
    </w:p>
    <w:p>
      <w:r>
        <w:rPr>
          <w:b/>
        </w:rPr>
        <w:t>E. 4.2</w:t>
      </w:r>
    </w:p>
    <w:p>
      <w:r>
        <w:t>In der Rechtsmitteleingabe wird der Sachverhalt erneut dargelegt und an dessen Wahrheitsgehalt sowie flüchtlingsrechtlicher Relevanz festgehalten. Der Beschwerdeführer habe keine Chance auf eine faire Behandlung in seiner Heimat. Dessen Freundin habe sich in ihn verliebt und die "soziokulturellen Phänomene" (Beschwerde S. 4) nicht weiter befolgen wollen. Sie habe in der Folge gegen die geltenden Religionsnormen verstossen und sich selbst, den Beschwerdeführer sowie beide Familien in Gefahr gebracht. Der Beschwerdeführer sei von jenem Kommandanten beinahe getötet worden. Die Familie der Freundin sei dem Beschwerdeführer gegenüber feindselig eingestellt und habe ihn und die Freundin mit dem Tod bedroht, weshalb sie letztlich B._______ geflüchtet seien. Dort habe der Beschwerdeführer für sich und die Familie keine Ausweispapiere erhalten, sei ausgeraubt und dreimal gewaltsam nach Afghanistan ausgeschafft worden. Im Falle einer Rückkehr müsste er unter (staatlicher) Verfolgung leiden, zumal jener mächtige Kommandant und die Familie seiner Frau in Kabul leben würden. Der Beschwerdeführer erfülle die Anforderungen zur Bejahung der Flüchtlingseigenschaft, und es sei ihm Asyl zu gewähren.</w:t>
      </w:r>
    </w:p>
    <w:p>
      <w:r>
        <w:rPr>
          <w:b/>
        </w:rPr>
        <w:t>E. 4.3</w:t>
      </w:r>
    </w:p>
    <w:p>
      <w:r>
        <w:t>Nach Durchsicht der Akten schliesst sich das Bundesverwaltungsgericht bei der Beurteilung der Glaubhaftigkeit der Asylvorbringen des Beschwerdeführers der Auffassung der Vorinstanz an: Der Beschwerdeführer hat bei der Erstbefragung zu seinen Asylgründen ausführlich die im Zusammenhang mit seiner Freundin stehenden Schwierigkeiten mit deren Familie sowie dem Kommandanten geschildert. Den angeblich zentralen Grund für die Flucht B._______, nämlich die Entführung durch Leute jenes Kommandanten, erwähnte er mit keinem Wort. Selbst vor dem Hintergrund des grundsätzlich summarischen Charakters der Erstbefragung eines Asylsuchenden wäre jedoch im vorliegenden Kontext - namentlich im Zusammenhang mit den Fragen nach jenem Kommandanten - eine entsprechende Schilderung der angeblichen Verschleppung zu erwarten gewesen (vgl. auch Entscheidungen und Mitteilungen der Schweizerischen Asylrekurskommission [EMARK] 1993 Nr. 3). Dies gilt um so mehr, als der Beschwerdeführer bei diesem Vorfall zusammengeschlagen und mit dem Tod bedroht worden sein soll und sich unter diesem Druck letztlich einverstanden erklärt haben will, seine Frau auszuliefern (vgl. Beschwerde S. 2). Dass der Beschwerdeführer diese angebliche Entführung erst bei der kantonalen Befragung vorgebracht hat, lässt vorliegend den Schluss zu, er habe so seinen Asylgründen nachträglich mehr Gewicht verleihen wollen, womit seine diesbezüglichen Vorbringen mit erheblichen Zweifeln belastet sind. Diese Feststellung wird durch weitere ungereimte und widersprüchliche Sachverhaltsschilderungen bestätigt. So ist nicht nachvollziehbar, dass der Beschwerdeführer den angeblichen Entführern zwar unter Todesdrohungen die Auslieferung seiner Frau zugesichert habe, diesen dann entkommen sei, sich danach aber noch über einen längeren Zeitraum unbehelligt in Kabul aufgehalten haben will, zumal auch seine Freundin und spätere Ehefrau ihn gewarnt habe, ihre Familie würde sie beide im Falle des Auffindens töten (vgl. Protokoll Empfangsstelle S. 5). Vielmehr ist im afghanischen Kontext davon auszugehen, dass der Kommandant und die Angehörigen der Frau die Flucht des Beschwerdeführers nicht tatenlos hingenommen, zugewartet und dadurch dem Beschwerdeführer und seiner Frau Gelegenheit zur Flucht gegeben hätten. Zudem ist nicht glaubhaft, dass der Beschwerdeführer nach der Heirat im Jahr (...) weiterhin in Kabul gelebt haben will, ohne von Seiten des Kommandanten oder der Familie der Ehefrau aufgespürt worden zu sein. Der abgeblich einflussreiche Kommandant hätte zweifellos Mittel und Wege gefunden, seine Verlobte und damit den Beschwerdeführer ausfindig zu machen. Sodann hat der Beschwerdeführer auch in zeitlicher Hinsicht widersprüchliche Angaben zu Protokoll gegeben. So soll die angebliche Entführung einmal im Herbst 1996 erfolgt sein; dann wiederum legte er dar, ein- bis eineinhalb Monate vor seiner Ausreise im Frühjahr 1997, mithin etwa Anfang 1997, verschleppt worden zu sein (vgl. kantonales Protokoll S. 12 bzw. S. 16). Hinsichtlich des Ausreisezeitpunkts hielt der Beschwerdeführer bei der ersten Befragung fest, ungefähr am 1. März 1996 den Heimatstaat verlassen zu haben (vgl. Protokoll Empfangsstelle S. 6). Andererseits führte er bei der kantonalen Befragung an, er habe Afghanistan im Februar/März 1997 verlassen (vgl. kantonales Protokoll S 6).</w:t>
      </w:r>
    </w:p>
    <w:p>
      <w:r>
        <w:rPr>
          <w:b/>
        </w:rPr>
        <w:t>E. 4.4</w:t>
      </w:r>
    </w:p>
    <w:p>
      <w:r>
        <w:t>Insgesamt können nach dem Gesagten weder die Schilderungen des Beschwerdeführers bezüglich seiner familiären Probleme noch die behauptete Entführung geglaubt werden. Die Erwägungen der Vorinstanz sind zu bestätigen. Das BFM hat das Asylgesuch zu Recht abgewiesen.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Auch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beziehungsweise Herkunftsstaat ist demnach unter dem Aspekt von Art. 5 AsylG rechtmässig. Sodann ergeben sich weder aus den Aussagen des Beschwerdeführers noch aus den Akten Anhaltspunkte dafür, dass er für den Fall einer Ausschaffung in den Heimatstaat beziehungsweise Herkunftsstaat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6.4.1</w:t>
      </w:r>
    </w:p>
    <w:p>
      <w:r>
        <w:t>Die ARK hat sich eingehend zur Lage in Kabul geäussert, die Unterschiede zwischen dem Grossraum Kabul und anderen Regionen Afghanistans in mehreren publizierten Urteilen dargestellt und den Vollzug von Wegweisungen nach Kabul unter bestimmten Voraussetzungen, insbesondere einem tragfähigen Beziehungsnetz und einer gesicherten Wohnsituation, als zumutbar erachtet (vgl. EMARK 2003 Nr. 10 und 30, 2006 Nr. 9). Diese Rechtsprechung wurde vom Bundesverwaltungsgericht übernommen und bestätigt.</w:t>
      </w:r>
    </w:p>
    <w:p>
      <w:r>
        <w:rPr>
          <w:b/>
        </w:rPr>
        <w:t>E. 6.4.2</w:t>
      </w:r>
    </w:p>
    <w:p>
      <w:r>
        <w:t>Der Beschwerdeführer habe vor dem Verlassen Afghanistans in Kabul gelebt und als D._______ gearbeitet. Eine Schwester von ihm habe im Zeitpunkt seiner Ausreise ebenfalls dort gewohnt. Nachdem die angeblichen familiären Probleme sich als unglaubhaft erwiesen haben, ist zudem davon auszugehen, dass seine Ehefrau über ein entsprechendes verwandtschaftliches Beziehungsnetz in Kabul verfügt und der Beschwerdeführer bei diesen Angehörigen, einer angeblich einflussreichen Familie (vgl. Beschwerde S. 4) mindestens anfänglich Hilfe erwarten könnte. Das Gericht geht davon aus, dass der Beschwerdeführer sich als D._______ nach seiner Rückkehr auch wieder eine wirtschaftliche Existenz in Kabul wird aufbauen können. Der Vollzug der Wegweisung erweist sich damit als zumutbar.</w:t>
      </w:r>
    </w:p>
    <w:p>
      <w:r>
        <w:rPr>
          <w:b/>
        </w:rPr>
        <w:t>E. 6.5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Der Beschwerdeführer hat in der Beschwerdeeingabe vom 28. Juli 2005 ein Gesuch um unentgeltliche Prozessführung gestellt. Die in der Zwischenverfügung vom 5. August 2005 einverlangte Bestätigung der behaupteten prozessualen Bedürftigkeit wurde bisher nicht zu den Akten gereicht, womit eine der kumulativ erforderlichen Voraussetzungen von Art. 65 Abs. 1 VwVG nicht gegeben ist. Das Gesuch um Gewährung der unentgeltlichen Rechtspflege ist deshalb abzuweisen. Die Kosten des Verfahrens in Höhe von Fr. 600.-- werden dem Beschwerdeführer auferlegt (Art. 64 Abs. 1 und 5 VwVG i.V.m.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