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E-4549/2012 vom 11. September 2012</w:t>
      </w:r>
    </w:p>
    <w:p>
      <w:r>
        <w:t>Bundesverwaltungsgericht, 2012-09-11, DE</w:t>
      </w:r>
    </w:p>
    <w:p>
      <w:r>
        <w:rPr>
          <w:b/>
        </w:rPr>
        <w:t xml:space="preserve">Quelle: </w:t>
      </w:r>
      <w:r>
        <w:t>https://mcp.opencaselaw.ch/entscheid/bvger_E-4549_2012</w:t>
      </w:r>
    </w:p>
    <w:p>
      <w:r>
        <w:t>FR: TAF E-4549/2012 du 11 septembre 2012</w:t>
      </w:r>
    </w:p>
    <w:p>
      <w:r>
        <w:t>IT: TAF E-4549/2012 del 11 settembre 2012</w:t>
      </w:r>
    </w:p>
    <w:p>
      <w:pPr>
        <w:pStyle w:val="Heading2"/>
      </w:pPr>
      <w:r>
        <w:t>Regeste</w:t>
      </w:r>
    </w:p>
    <w:p>
      <w:r>
        <w:t>Nichteintreten auf Asylgesuch (erneutes Asylverfahren Schweiz)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Die Beschwerde ist frist- und formgerecht eingereicht (Art. 108 Abs. 2 AsylG und Art. 52 VwVG). Die Beschwerdevoraussetzungen sind insoweit erfüllt.</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w:t>
      </w:r>
    </w:p>
    <w:p>
      <w:r>
        <w:t>Die Beschwerde erweist sich als offensichtlich begründet und ist im Verfahren einzelrichterlicher Zuständigkeit mit Zustimmung eines zweiten Richters (Art. 111 Bst. e AsylG) zu behandeln.</w:t>
      </w:r>
    </w:p>
    <w:p>
      <w:r>
        <w:rPr>
          <w:b/>
        </w:rPr>
        <w:t>E. 4</w:t>
      </w:r>
    </w:p>
    <w:p>
      <w:r>
        <w:t>Der Dispositionsgrundsatz besagt unter anderem, dass die Partei zu bestimmen hat, mit welchem Rechtsschutzgesuch sie sich an die staatlichen Rechtspflegeorgane richten will. Die durch einen Juristen vertretene Beschwerdeführerin hat ausdrücklich ein Gesuch um Wiedererwägung (vgl. Bezeichnung der Eingabe und Rechtsbegehren) gestellt. Die Vorinstanz nahm die Eingabe indessen ohne Begründung als zweites Asylgesuch entgegen. Wohl vermittelt der Rechtsweg im zweiten Asylverfahren in der Regel mehr Verfahrensgarantien als im Wiedererwägungsverfahren. Die Vorinstanz hätte aber zumindest begründen müssen, weshalb sie das Wiedererwägungsgesuch als zweites Asylgesuch entgegennahm. Da eine entsprechende Begründung fehlt, verletzt die angefochtene Verfügung Bundesrecht, weil ein (zweites) Asylverfahren einen entsprechenden Antrag der Partei voraussetzt hätte (Art. 18 AsylG). Die Beschwerde ist gutzuheissen und die Verfügung vom 22. August 2012 aufzuheben, womit die übrigen Anträge in der Sache gegenstandslos werden.</w:t>
      </w:r>
    </w:p>
    <w:p>
      <w:r>
        <w:rPr>
          <w:b/>
        </w:rPr>
        <w:t>E. 5.1</w:t>
      </w:r>
    </w:p>
    <w:p>
      <w:r>
        <w:t>Bei diesem Ausgang des Verfahrens sind der Beschwerdeführerin keine Verfahrenskosten aufzuerlegen (Art. 63 Abs. 1 VwVG). Das Gesuch um Gewährung der unentgeltlichen Rechtspflege gemäss Art. 65 Abs. 1 VwVG wird damit gegenstandslos.</w:t>
      </w:r>
    </w:p>
    <w:p>
      <w:r>
        <w:rPr>
          <w:b/>
        </w:rPr>
        <w:t>E. 5.2</w:t>
      </w:r>
    </w:p>
    <w:p>
      <w:r>
        <w:t>Die Beschwerdeführerin beantragt weiter, es sei ihr in der Person des Unterzeichnenden ein unentgeltlicher Rechtsbeistand zu bestellen. Gemäss Art. 65 Abs. 2 VwVG bestellt die Beschwerdeinstanz der Partei einen Anwalt, wenn dies zur Wahrung ihrer Rechte notwendig ist. Im Asylverfahren sind zur wirksamen Beschwerdeerhebung in der Regel keine besonderen Rechtskenntnisse erforderlich. Da vorliegend weder in rechtlicher noch tatsächlicher Hinsicht erhöhte Schwierigkeiten vorliegen, ist die Beschwerdeführerin zur Wahrung ihrer Rechte nicht auf einen Anwalt angewiesen. Das Gesuch ist abzuweisen.</w:t>
      </w:r>
    </w:p>
    <w:p>
      <w:r>
        <w:rPr>
          <w:b/>
        </w:rPr>
        <w:t>E. 5.3</w:t>
      </w:r>
    </w:p>
    <w:p>
      <w:r>
        <w:t>Obsiegende und teilweise obsiegende Parteien haben Anspruch auf eine Parteientschädigung für die ihnen erwachsenen notwendigen Kosten (Art. 64 Abs. 1 VwVG, Art. 7 Abs. 1 und 4 VGKE). Der Rechtsvertreter hat keine Kostennote eingereicht. Auf entsprechende Nachforderung kann verzichtet werden, da der notwendige Vertretungsaufwand aufgrund der Akten zuverlässig abgeschätzt werden kann. Die Ausführungen in der Rechtsmitteleingabe entsprechen über mehrere Seiten den Darlegungen im Wiedererwägungsgesuch. Unter Berücksichtigung der massgebenden Berechnungsfaktoren (Art. 8, 9 und 11 VGKE) und ausgehend von einem Stundenansatz von Fr. 200.- ist die Parteientschädigung daher auf Fr. 300.- (inkl. Auslagen und Mehrwertsteuer) festzusetzen. Die Vorinstanz ist anzuweisen,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