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E-4535/2015 vom 29. Juli 2015</w:t>
      </w:r>
    </w:p>
    <w:p>
      <w:r>
        <w:t>Bundesverwaltungsgericht, 2015-07-29, DE</w:t>
      </w:r>
    </w:p>
    <w:p>
      <w:r>
        <w:rPr>
          <w:b/>
        </w:rPr>
        <w:t xml:space="preserve">Quelle: </w:t>
      </w:r>
      <w:r>
        <w:t>https://mcp.opencaselaw.ch/entscheid/bvger_E-4535_2015</w:t>
      </w:r>
    </w:p>
    <w:p>
      <w:r>
        <w:t>FR: TAF E-4535/2015 du 29 juillet 2015</w:t>
      </w:r>
    </w:p>
    <w:p>
      <w:r>
        <w:t>IT: TAF E-4535/2015 del 29 luglio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52 VwVG und Art. 108 Abs. 1 AsylG).</w:t>
      </w:r>
    </w:p>
    <w:p>
      <w:r>
        <w:rPr>
          <w:b/>
        </w:rPr>
        <w:t>E. 1.2</w:t>
      </w:r>
    </w:p>
    <w:p>
      <w:r>
        <w:t>Die Beschwerde ist in englischer Sprache und damit nicht in einer Amtssprache des Bundes (vgl. Art. 105 AsylG i.V.m. Art. 33a VwVG und Art. 70 Abs. 1 der Bundesverfassung der Schweizerischen Eidgenossenschaft vom 18. April 1999 [BV, SR 101]) abgefasst. Die Eingabe weist keine Unklarheiten auf, weshalb praxisgemäss auf die Einholung einer Übersetzung in eine Amtssprache zu verzichten ist (vgl. statt vieler Urteil des Bundesverwaltungsgerichts E-5509/2011 vom 22. November 2011).</w:t>
      </w:r>
    </w:p>
    <w:p>
      <w:r>
        <w:rPr>
          <w:b/>
        </w:rPr>
        <w:t>E. 1.3</w:t>
      </w:r>
    </w:p>
    <w:p>
      <w:r>
        <w:t>Mit Beschwerde kann die Verletzung von Bundesrecht und die unrichtige oder unvollständige Feststellung des rechtserheblichen Sachverhalts gerügt werden (Art. 106 Abs. 1 AsylG; zur Frage der Auswirkung der Streichung von Art. 106 Abs. 1 Bst. a aAsylG auf das Beschwerdeverfahren in Ausland-Asylverfahren, vgl. Urteil BVGer D-103/2014 vom 21. Januar 2015 E. 4 ff. [zur Publikation vorgesehen]).</w:t>
      </w:r>
    </w:p>
    <w:p>
      <w:r>
        <w:rPr>
          <w:b/>
        </w:rPr>
        <w:t>E. 1.4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2.1</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2.2</w:t>
      </w:r>
    </w:p>
    <w:p>
      <w:r>
        <w:t>Gemäss Art. 19 Abs. 1 aAsylG kann ein Asylgesuch im Ausland bei einer Schweizerischen Vertretung gestellt werden, die es mit einem Bericht an das Bundesamt überweist (Art. 20 Abs. 1 aAsylG).</w:t>
      </w:r>
    </w:p>
    <w:p>
      <w:r>
        <w:rPr>
          <w:b/>
        </w:rPr>
        <w:t>E. 2.3</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2.4</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2.5</w:t>
      </w:r>
    </w:p>
    <w:p>
      <w:r>
        <w:t>Einer Person, die sich im Ausland befindet, kann das Asyl verweigert werden, wenn es ihr zugemutet werden kann, sich in einem anderen Staat um Aufnahme zu bemühen (Art. 52 Abs. 2 aAsylG).</w:t>
      </w:r>
    </w:p>
    <w:p>
      <w:r>
        <w:rPr>
          <w:b/>
        </w:rPr>
        <w:t>E. 3.1</w:t>
      </w:r>
    </w:p>
    <w:p>
      <w:r>
        <w:t>Die Vorinstanz hat den Massstab der Asylrelevanz und des Glaubhaftmachens nicht verkannt und auf den vorliegenden Fall korrekt angewendet. Der Beschwerdeführer setzt sich mit der vorinstanzlichen Beweiswürdigung nicht auseinander und zeigt nicht auf, inwiefern diese Bundesrecht verletzen sollte. Solches ist auch nicht ersichtlich. Er erschöpft sich vielmehr in der Wiederholung und Vertiefung des bereits bekannten Sachverhalts. In der angefochtenen Verfügung wird hingegen richtig erkannt, dass die Voraussetzungen für eine Einreisebewilligung schon deshalb nicht gegeben sind, weil der Antrag nicht in kausaler Relation mit der Ausreise und den angeblichen Problemen in Eritrea steht. So ist der Beschwerdeführer vor über 30 Jahren aus Eritrea ausgereist, lebt seither in Sudan, wo er gemäss eigenen Angaben als Flüchtling anerkannt wurde, geheiratet und eine Familie gegründet hat. Hinzu kommt die offensichtlich mangelnde Bezugsnähe zur Schweiz. Es ist mithin nicht ersichtlich, inwiefern der Beschwerdeführer im Sinne von Art. 3 AsylG auf den Schutz der Schweiz angewiesen sein soll. Um Wiederholungen zu vermeiden, kann auf die Ausführungen in der vorinstanzlichen Verfügung verwiesen werden.</w:t>
      </w:r>
    </w:p>
    <w:p>
      <w:r>
        <w:rPr>
          <w:b/>
        </w:rPr>
        <w:t>E. 3.2</w:t>
      </w:r>
    </w:p>
    <w:p>
      <w:r>
        <w:t>Das Gericht anerkennt die grundsätzlich schwierige Lage für eritreische Flüchtlinge im Sudan. Indes legt der Beschwerdeführer in der Rechtsmitteleingabe nicht dar, inwiefern ihm persönlich ein weiterer dortiger Aufenthalt nicht zumutbar und möglich ist. Reine wirtschaftliche Sorgen genügen den Anforderungen an Art. 3 AsylG nicht. Es sind keine Benachteiligungen seitens der sudanesischen Behörden im Sinne des Asylgesetzes angeführt. Was die angeblich illegale Ausreise aus Eritrea anbelangt - sofern eine solche überhaupt stattgefunden hat - ist der Beschwerdeführer insbesondere als im Sudan anerkannter Flüchtling (SEM-Akten, A 1 S. 3) nicht gehalten, in seinen Heimatstaat zurückzukehren und geniesst gebührend Schutz.</w:t>
      </w:r>
    </w:p>
    <w:p>
      <w:r>
        <w:rPr>
          <w:b/>
        </w:rPr>
        <w:t>E. 3.3</w:t>
      </w:r>
    </w:p>
    <w:p>
      <w:r>
        <w:t>Zusammenfassend ist festzustellen, dass dem Beschwerdeführer der weitere Verbleib in Sudan zumutbar ist und er auf den Schutz der Schweiz nicht angewiesen ist. Die Vorinstanz hat demnach zu Recht die Einreise in die Schweiz nicht bewilligt und das Asylgesuch aus dem Ausland abgelehnt.</w:t>
      </w:r>
    </w:p>
    <w:p>
      <w:r>
        <w:rPr>
          <w:b/>
        </w:rPr>
        <w:t>E. 4</w:t>
      </w:r>
    </w:p>
    <w:p>
      <w:r>
        <w:t>Aus diesen Erwägungen ergibt sich, dass die angefochtene Verfügung Bundesrecht nicht verletzt und auch sonst nicht zu beanstanden ist (Art. 106 Abs. 1 AsylG). Die Beschwerde ist abzuweisen.</w:t>
      </w:r>
    </w:p>
    <w:p>
      <w:r>
        <w:rPr>
          <w:b/>
        </w:rPr>
        <w:t>E. 5</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