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E-4534/2015 vom 4. August 2015</w:t>
      </w:r>
    </w:p>
    <w:p>
      <w:r>
        <w:t>Bundesverwaltungsgericht, 2015-08-04, DE</w:t>
      </w:r>
    </w:p>
    <w:p>
      <w:r>
        <w:rPr>
          <w:b/>
        </w:rPr>
        <w:t xml:space="preserve">Quelle: </w:t>
      </w:r>
      <w:r>
        <w:t>https://mcp.opencaselaw.ch/entscheid/bvger_E-4534_2015</w:t>
      </w:r>
    </w:p>
    <w:p>
      <w:r>
        <w:t>FR: TAF E-4534/2015 du 4 août 2015</w:t>
      </w:r>
    </w:p>
    <w:p>
      <w:r>
        <w:t>IT: TAF E-4534/2015 del 4 agosto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1.3</w:t>
      </w:r>
    </w:p>
    <w:p>
      <w:r>
        <w:t>Parteieingaben in Verfahren vor den Behörden des Bundes sind in einer Amtssprache - in der Regel Deutsch, Französisch oder Italienisch - abzufassen (Art. 70 Abs. 1 BV und Art. 33a Abs. 1 VwVG). Die Beschwerdeschrift ist zwar nicht in einer der erwähnten Sprachen verfasst; aus verfahrensökonomischen Gründen ist die Beschwerde aber in der vorliegenden Form entgegenzunehmen. Der Entscheid des Gerichts ergeht in deutscher Sprache (Art. 33a Abs. 2 VwVG i.V.m. Art. 37 VGG).</w:t>
      </w:r>
    </w:p>
    <w:p>
      <w:r>
        <w:rPr>
          <w:b/>
        </w:rPr>
        <w:t>E. 1.4</w:t>
      </w:r>
    </w:p>
    <w:p>
      <w:r>
        <w:t>Auf die frist- und im Übrigen formgerecht eingereichte Beschwerde ist einzutreten (Art. 108 Abs. 1 AsylG, Art. 6 AsylG i.V.m. Art. 52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4.2 Das SEM kann ein im Ausland gestelltes Asylgesuch ablehnen, wenn die asylsuchenden Personen keine Verfolgung glaubhaft machen können oder ihnen die Aufnahme in einem Drittstaat zugemutet werden kann (vgl.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 4.3 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4.4 Gemäss neuerer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7.1 f. S. 519 f.).</w:t>
      </w:r>
    </w:p>
    <w:p>
      <w:r>
        <w:rPr>
          <w:b/>
        </w:rPr>
        <w:t>E. 5</w:t>
      </w:r>
    </w:p>
    <w:p>
      <w:r>
        <w:t>Die Vorinstanz verweigerte dem Beschwerdeführer die Einreise mit der Begründung, die Abklärung des Sachverhalts erfordere seine Anwesenheit in der Schweiz nicht; aufgrund des vollständig erstellten Sachverhalts könne vielmehr davon ausgegangen werden, dass keine unmittelbare Gefährdung vorliege, welche die Anwesenheit in der Schweiz als notwendig erscheinen lasse. Auch wenn die Asylvorbringen unsubstanziiert und teils widersprüchlich ausgefallen seien, sei nicht auszuschliessen, dass ernstzunehmende Probleme mit den heimatlichen Behörden im Sinne von Art. 3 AsylG entstanden seien. Hingegen sei nicht von einreiserelevanten Problemen im Sudan auszugehen, vielmehr davon, dass er dort Schutz vor Verfolgung gefunden habe, zumal entgegen dem Beschwerdeführer die Wahrscheinlichkeit einer Deportation nach Eritrea in Verletzung des Non-Refoulementprinzips gering sei und es ihm freistehe, in ein Flüchtlingslager des UNHCR zurückzukehren. Eine Beziehungsnähe zur Schweiz liege nicht vor. Folglich sei keine Schutzbedürftigkeit im Sinne des Asylgesetzes gegeben.</w:t>
      </w:r>
    </w:p>
    <w:p>
      <w:r>
        <w:rPr>
          <w:b/>
        </w:rPr>
        <w:t>E. 6</w:t>
      </w:r>
    </w:p>
    <w:p>
      <w:r>
        <w:t>Nach Prüfung der Akten teilt das Gericht die Auffassung der Vorinstanz, dass davon auszugehen ist, dass der Beschwerdeführer in einem Drittstaat, Sudan, effektiven Schutz gefunden hat und er daher nicht mehr schutzbedürftig im Sinne des Asylgesetzes ist. Ausserdem besteht keinerlei Beziehungsnähe zur Schweiz. Daher ist ohne weiteren Begründungsaufwand auf die zutreffenden Ausführungen der Vorinstanz zu verweisen. Auf Beschwerdeebene bekräftigt der Beschwerdeführer seine bisherigen Vorbringen, insbesondere jenes, dass die Gefahr einer Deportation bestehe, und versieht es mit weiteren, aber nicht hinreichenden Hinweisen. Er bringt aber nichts vor, was geeignet wäre, zu einem andern Schluss zu gelangen. Nach dem Gesagten hat die Vorinstanz die Einreise zu Recht nicht bewilligt und das Asylgesuch abgelehnt.</w:t>
      </w:r>
    </w:p>
    <w:p>
      <w:r>
        <w:rPr>
          <w:b/>
        </w:rPr>
        <w:t>E. 7</w:t>
      </w:r>
    </w:p>
    <w:p>
      <w:r>
        <w:t>Aus diesen Erwägungen ergibt sich, dass die angefochtene Verfügung im Lichte von Art. 106 Abs. 1 AsylG nicht zu beanstanden ist. Die Beschwerde ist abzuweisen.</w:t>
      </w:r>
    </w:p>
    <w:p>
      <w:r>
        <w:rPr>
          <w:b/>
        </w:rPr>
        <w:t>E. 8</w:t>
      </w:r>
    </w:p>
    <w:p>
      <w:r>
        <w:t>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