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E-4530/2010 vom 24. März 2011</w:t>
      </w:r>
    </w:p>
    <w:p>
      <w:r>
        <w:t>Bundesverwaltungsgericht, 2011-03-24, DE</w:t>
      </w:r>
    </w:p>
    <w:p>
      <w:r>
        <w:rPr>
          <w:b/>
        </w:rPr>
        <w:t xml:space="preserve">Quelle: </w:t>
      </w:r>
      <w:r>
        <w:t>https://mcp.opencaselaw.ch/entscheid/bvger_E-4530_2010</w:t>
      </w:r>
    </w:p>
    <w:p>
      <w:r>
        <w:t>FR: TAF E-4530/2010 du 24 mars 2011</w:t>
      </w:r>
    </w:p>
    <w:p>
      <w:r>
        <w:t>IT: TAF E-4530/2010 del 24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vorliegend aus prozessökonomischen Gründen verzichtet werden. Nach erfolgter amtlicher Übersetzung sind die Rechtsbegehren bekannt und hinreichend begründet. Der vorliegende Entscheid ergeht in deutscher Sprache (vgl. Art. 33a Abs. 2 VwVG i.V.m. Art. 37 VGG).</w:t>
      </w:r>
    </w:p>
    <w:p>
      <w:r>
        <w:rPr>
          <w:b/>
        </w:rPr>
        <w:t>E. 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23. Juni 2010 beim Bundesverwaltungsgericht eingegangene Beschwerde rechtzeitig erfolgt ist.</w:t>
      </w:r>
    </w:p>
    <w:p>
      <w:r>
        <w:rPr>
          <w:b/>
        </w:rPr>
        <w:t>E. 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4</w:t>
      </w:r>
    </w:p>
    <w:p>
      <w:r>
        <w:t>Mit Beschwerde kann die Verletzung von Bundesrecht, die unrichtige oder unvollständige Feststellung des rechtserheblichen Sachverhalts und die Unangemessenheit gerügt werden (Art. 106 Abs. 1 AsylG).</w:t>
      </w:r>
    </w:p>
    <w:p>
      <w:r>
        <w:rPr>
          <w:b/>
        </w:rPr>
        <w:t>E. 5.1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5.2</w:t>
      </w:r>
    </w:p>
    <w:p>
      <w:r>
        <w:t>Gestützt auf Art. 111a Abs. 1 AsylG wurde vorliegend auf die Durchführung eines Schriftenwechsels verzichtet.</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7.1</w:t>
      </w:r>
    </w:p>
    <w:p>
      <w:r>
        <w:t>In der angefochtenen Verfügung anerkennt das BFM vorweg die geltend gemachten Befürchtungen des Beschwerdeführers. Dazu stellt es fest, der Beschwerdeführer habe innerhalb der LTTE keine Position inne gehabt, in welcher er in irgend einer Weise gegen die srilankische Regierung gearbeitet habe. Vor einigen Jahren, während des Waffenstillstandes, habe die Regierung sogar versucht, tamilische Juristen den in der Verfassung vorgesehenen Eid schwören zu lassen, was aber diesen Juristen von der LTTE nicht erlaubt worden sei. Dies zeige, dass der Beschwerdeführer als tamilischer Jurist, zumindest zum damaligen Zeitpunkt, als solcher nicht von der Regierung verfolgt worden wäre. Auch sei er während der sechs Monate, als er in IPD-Camps geweilt habe, nicht von den srilankischen Sicherheitskräften behelligt worden. Auch wenn berücksichtigt werde, dass er sich dort als J._______ ausgegeben habe, hätte er dennoch identifiziert werden können, falls er von den Behörden gesucht worden wäre. Der Beschwerdeführer weise somit kein Gefährdungsprofil in dem Ausmass auf, nach welchem er mit beachtlicher Wahrscheinlichkeit von einreiserelevanter Verfolgung seitens des srilankischen Staats betroffen wäre. Dies gelte selbst für den Fall, dass der Beschwerdeführer von einer durch ihn verurteilten Person an die Behörden verraten werden würde. Weiter führt die Vorinstanz aus, es erachte die Bedrohungen durch den Bruder einer durch den Beschwerdeführer verurteilten Person nicht als derart intensiv, als dass sie die Bewilligung einer Einreise rechtfertigen würden. Vielmehr stehe es dem Beschwerdeführer frei, sich auch in einem anderen Teil Sri Lankas, beispielsweise in Colombo, niederzulassen. Bei der angeführten Bedrohung handle es sich um eine regional beschränkte Verfolgungsmassnahme, welcher er sich durch einen Wegzug in einen anderen Teil des Heimatlandes entziehen könne und deshalb nicht auf den Schutz der Schweiz angewiesen sei. In Colombo hätten in den letzten Monaten keine Razzien oder gross angelegte Kontrollen mehr stattgefunden. Zudem sei die Registrierungspflicht für Tamilen am 30. Dezember 2009 aufgehoben worden.</w:t>
      </w:r>
    </w:p>
    <w:p>
      <w:r>
        <w:rPr>
          <w:b/>
        </w:rPr>
        <w:t>E. 7.2</w:t>
      </w:r>
    </w:p>
    <w:p>
      <w:r>
        <w:t>In der Beschwerdeschrift und den beiden weiteren Eingaben macht der Beschwerdeführer geltend, wäre er nicht an den Gerichten der LTTE tätig gewesen, wäre er nicht in der gegenwärtig heiklen Situation. Bei seiner Flucht im April 2009 sei er beinahe erschossen worden. Er und seine Familie seien am Kopf und an den Händen verletzt worden. Seine Verwandten seien ebenfalls verletzt oder teilweise gar getötet worden. Sie alle hätten ihren Besitz verloren und würden nun in Armut leben. Sie hätten Schmerzen ertragen, würden an Depressionen leiden und seien ohne Hoffnung für die Zukunft. Nach dem Verlassen des IDP-Camps habe er sich zurück an seinen Wohnort begeben. Die dortige Situation sei indes sehr schlecht. Er werde einerseits von den Sicherheitskräften, andererseits vom Bruder eines durch ihn verurteilten Delinquenten bedroht. Nach wie vor komme es in Sri Lanka zu Entführungen, Verschleppungen und Killings. Auch nach Einreichung der Beschwerde sei er Kontrollen, Belästigungen und Befragungen ausgesetzt gewesen. In Sri Lanka könne man nicht ohne Angst leben. Ein Leben in Sicherheit sei nicht möglich.</w:t>
      </w:r>
    </w:p>
    <w:p>
      <w:r>
        <w:rPr>
          <w:b/>
        </w:rPr>
        <w:t>E. 7.3</w:t>
      </w:r>
    </w:p>
    <w:p>
      <w:r>
        <w:t>Der Beschwerdeführer befürchtet, aufgrund seiner Tätigkeit als Jurist an Gerichten der LTTE einerseits von den heimatlichen Behörden, andererseits von durch ihn Verurteilten verfolgt oder von diesen an die heimatlichen Behörden verraten zu werden. Mit der Vorinstanz kann das Gericht diese Befürchtungen nachvollziehen. Indes erachtet es, wie bereits das BFM, eine asylrelevante Benachteiligung des Beschwerdeführers als wenig wahrscheinlich, da dieser über kein politisches Profil verfügt und sich in seiner Funktion als Anwalt nicht gegen den heimatlichen Staat engagiert hat. Zudem steht es dem Beschwerdeführer offen, sich den Nachstellungen durch private Dritte, durch ein innerstaatliches Ausweichen zu entziehen. In seinen Eingaben an die Rechtsmitteleinstanz beschränkt sich der Beschwerdeführer im Wesentlichen auf die Wiederholung des bereits aktenkundigen Sachverhalts. Damit legt er nicht dar, inwiefern ihm das BFM zu Unrecht die Einreise in die Schweiz verweigert und sein Asylgesuch abgelehnt hat. Um Wiederholungen zu vermeiden, kann vorliegend deshalb vollumfänglich auf die zutreffenden Erwägungen in der angefochtenen Verfügung verwiesen werden. Was sodann die allgemeine Sicherheitslage in Sri Lanka anbelangt, so hat sich diese entgegen der vom Beschwerdeführer vertretenen Ansicht seit Mitte 2009 sukzessive verbessert.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Beendigung des Krieges, mithin seit bald zwei Jahren, nichts Nachteiliges im Sinne von Art. 3 AsylG widerfahren ist, ist davon auszugehen, dass er in seiner Heimatregion keine asylrelevanten Verfolgungsmassnahmen zu befürchten hat. Sodann handelt es sich bei den angeführten aktuellen Kontrollen durch die heimatlichen Behörden nicht um persönliche Benachteiligungen, die darauf schliessen liessen, der Beschwerdeführer sei gezielten Nachteilen im Sinne von Art. 3 AsylG ausgesetzt oder hätte solche inskünftig zu befürchten. Darüber hinaus genügt auch die blosse Angst vor einer allfällig künftig möglichen Bedrohung nicht, um auf das Vorliegen einer begründeten Furcht vor künftiger Verfolgung zu schliessen. Schliesslich ist auch eine sozial sowie wirtschaftlich schwierige Lebenssituation, so bedauerlich sie ist, unter dem Blickwinkel des Asylrechts nicht relevant.</w:t>
      </w:r>
    </w:p>
    <w:p>
      <w:r>
        <w:rPr>
          <w:b/>
        </w:rPr>
        <w:t>E. 7.4</w:t>
      </w:r>
    </w:p>
    <w:p>
      <w:r>
        <w:t>Zusammenfassend ist festzustellen, dass es dem Beschwerdeführer nicht gelungen ist, eine aktuelle und unmittelbare Gefährdung im Sinne von Art. 3 AsylG beziehungsweise konkrete Hinweise auf eine künftige, asylrelevante Verfolgung und eine damit einhergehende, begründete Verfolgungsfurcht darzutun. Ein weiterer Verbleib im Heimatland, unter Umständen unter Beanspruchung der Möglichkeit eines innerstaatlichen Ausweichens, ist ihm deshalb zumutbar. Das BFM hat demnach dem Beschwerdeführer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