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E-452/2007 vom 18. Januar 2011</w:t>
      </w:r>
    </w:p>
    <w:p>
      <w:r>
        <w:t>Bundesverwaltungsgericht, 2011-01-18, FR</w:t>
      </w:r>
    </w:p>
    <w:p>
      <w:r>
        <w:rPr>
          <w:b/>
        </w:rPr>
        <w:t xml:space="preserve">Quelle: </w:t>
      </w:r>
      <w:r>
        <w:t>https://mcp.opencaselaw.ch/entscheid/bvger_E-452_2007</w:t>
      </w:r>
    </w:p>
    <w:p>
      <w:r>
        <w:t>FR: TAF E-452/2007 du 18 janvier 2011</w:t>
      </w:r>
    </w:p>
    <w:p>
      <w:r>
        <w:t>IT: TAF E-452/2007 del 18 gennaio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Le nouveau droit de procédure s'applique (art. 53 al. 2 phr. 2 LTAF); la procédure devant le Tribunal administratif fédéral est régie par la PA, pour autant que ni la LTAF ni la LAsi n'en disposent autrement (art. 37 LTAF ; art. 6 LAsi).</w:t>
      </w:r>
    </w:p>
    <w:p>
      <w:r>
        <w:rPr>
          <w:b/>
        </w:rPr>
        <w:t>E. 1.4</w:t>
      </w:r>
    </w:p>
    <w:p>
      <w:r>
        <w:t>Les recourants ont qualité pour recourir (art. 48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En l'occurrence, le recourant a allégué avoir vécu "entre deux feux", sous pression à la fois des combattants du PKK, qui l'auraient contraint à leur apporter une aide matérielle, et des militaires turcs qui lui auraient fait subir des mesures de coercition - interpellations, gardes à vue fréquentes et mauvais traitements - en raison de son soutien actif aux rebelles du PKK ; en 1993, il aurait consenti, sous la menace des autorités, à exercer la charge de gardien de village; ses biens-fonds auraient été expropriés en 1999 et sa maison détruite en 2006 par dites autorités. Il serait actuellement recherché en raison de l'abandon de sa fonction de gardien de village.</w:t>
      </w:r>
    </w:p>
    <w:p>
      <w:r>
        <w:rPr>
          <w:b/>
        </w:rPr>
        <w:t>E. 3.2</w:t>
      </w:r>
    </w:p>
    <w:p>
      <w:r>
        <w:t>Il est notoire que les habitants de nombreux villages kurdes sis dans les montagnes ou dans leur proximité ont vécu "entre deux feux", sous pression à la fois des combattants du PKK qui les contraignaient à leur apporter une aide matérielle, et des militaires qui les enjoignaient à dénoncer les rebelles. L'armée estimait pouvoir exercer un contrôle suffisant sur la population locale en recourant notamment à une politique générale d'intimidation. C'est ainsi que les forces de sécurité turques ont développé l'institution des gardiens de village, en en faisant leurs supplétifs, et instauré une pratique consistant à placer en garde à vue, pour des durées plus ou moins longues, les personnes susceptibles d'avoir été appelées, de gré ou de force, à apporter une aide logistique aux guérilleros du PKK ; ces personnes étaient, en règle générale, relâchées lorsqu'aucun indice sérieux de soutien actif, ou d'engagement politique antigouvernemental, ne pouvait être retenu contre elles. Conformément à une pratique constante, faute de caractère ciblé au sens de l'art. 3 LAsi, de tels préjudices, au demeurant localement circonscrits, n'entraînent pas la reconnaissance de la qualité de réfugié (cf. JICRA 1993 n° 37, consid. 7a-c p. 265ss).</w:t>
      </w:r>
    </w:p>
    <w:p>
      <w:r>
        <w:rPr>
          <w:b/>
        </w:rPr>
        <w:t>E. 3.2.1</w:t>
      </w:r>
    </w:p>
    <w:p>
      <w:r>
        <w:t>Compte tenu de ces circonstances, il est probable que le recourant n'ait pas échappé à des mesures d'intimidation dirigées, à grande échelle, contre les villageois qui, comme lui, vivaient dans les montagnes (cf. p.-v. de l'audition du 6 décembre 2006 Q 89). Le fait qu'il ait été interpellé, à l'instar de ses voisins, lors d'incidents provoqués par le PKK dans sa région, et interrogé sur les informations dont il était censé disposer sur les guérilleros du PKK qui se cachaient dans les montagnes et descendaient la nuit dans son hameau, ainsi que l'expropriation de sa maison, puis la destruction dudit hameau dans le cadre de la politique de la terre brûlée appliquée par les autorités turques dans les régions où des affrontements entre PKK et forces de sécurité avaient eu lieu, sont des indices concrets que tel était le cas. Le but recherché par le gouvernement était de priver ainsi le PKK de tout soutien logistique extorqué ou obtenu des localités situées à proximité de leurs bases, comme du hameau de D._______. Ces actes ne visaient donc pas particulièrement le recourant et sa famille - contrairement aux arguments du recours (cf. acte de recours p. 3) - mais tous les membres d'une communauté villageoise, susceptible d'être aisément contrainte à fournir au PKK une aide sur le plan logistique. Toutefois, comme évoqué ci-dessus, ces mesures d'intimidation ne sont pas pertinentes, dès lors qu'il aurait suffi au recourant et à sa famille de quitter leur hameau et de s'installer dans leur village de E._______ sis plus bas pour ne plus être inquiétés par les autorités. Le recourant n'a d'ailleurs fait valoir aucun motif pertinent qui l'aurait empêché de s'établir à E._______ ; il s'est borné à invoquer son "choix personnel" de demeurer à D._______, où étaient situés ses terrains et sa maison (cf. p.-v. de l'audition du 6 décembre 2006 Q 90-91). Au vu de ce qui précède, les moyens de pression éventuellement subis par la famille A._______ et B._______, de même que la main-mise de l'Etat turc sur leurs biens et la démolition de leur maison, ne sont pas des préjudices déterminants pour l'octroi de l'asile, dès lors qu'ils sont localement circonscrits et non ciblés contre les recourants.</w:t>
      </w:r>
    </w:p>
    <w:p>
      <w:r>
        <w:rPr>
          <w:b/>
        </w:rPr>
        <w:t>E. 3.3</w:t>
      </w:r>
    </w:p>
    <w:p>
      <w:r>
        <w:t>Pour le surplus, le Tribunal estime que les allégués des recourants relatifs à une persécution ciblée contre eux, dépassant les préjudices dont ils avaient été victimes en raison du lieu où ils habitaient, ne sont pas vraisemblables.</w:t>
      </w:r>
    </w:p>
    <w:p>
      <w:r>
        <w:rPr>
          <w:b/>
        </w:rPr>
        <w:t>E. 3.3.1</w:t>
      </w:r>
    </w:p>
    <w:p>
      <w:r>
        <w:t>D'abord, il sied de constater que la crédibilité des déclarations des recourants relatives aux motifs d'asile postérieurs à 2001, est sérieusement entachée, dès lors qu'il est établi que ceux-ci ont trompé les autorités suisses, en dissimulant sciemment un séjour en Allemagne ininterrompu de 2001 à 2006, avant le dépôt de leurs demandes d'asile en Suisse.</w:t>
      </w:r>
    </w:p>
    <w:p>
      <w:r>
        <w:rPr>
          <w:b/>
        </w:rPr>
        <w:t>E. 3.3.2</w:t>
      </w:r>
    </w:p>
    <w:p>
      <w:r>
        <w:t>Ensuite, le Tribunal relève le caractère évasif des propos du recourant qui a tenté d'esquiver les questions pertinentes et précises du collaborateur de l'ODM, relatives aux faits à l'origine de son départ du pays (cf. p.-v. de l'audition du 6 décembre 2006 Q 26-48). Enfin, les déclarations de l'intéressé relatives à son engagement en qualité de gardien de village, à ses liens avec le PKK, aux interpellations et gardes à vue dont il aurait fait l'objet, ainsi qu'aux interrogatoires dont il aurait fait l'objet ne dépassent pas le stade des généralités. A titre d'exemple, le recourant n'a pas pu indiquer la fréquence avec laquelle il rencontrait des membres du PKK ni le(s) lieu(x) précis de leurs rencontres (cf. p.-v. de l'audition du 6 décembre 2006 Q 16-29). S'agissant des mesures de rétention policière dont il aurait fait l'objet, l'intéressé n'a pas été en mesure situer dans le temps ne serait-ce que l'année de sa première et, respectivement, celle de sa dernière interpellation, alléguant "qu'il n'avait pas envie de se souvenir de ces jours malheureux" (cf. p.-v. de l'audition du 6 décembre 2006 Q 38-42). Les indications des recourants divergent s'agissant de la durée de la détention la plus longue subie par A._______, ce dernier ayant indiqué deux à trois jours (cf. p.-v. de l'audition du 6 décembre 2006 Q 45-48), alors que son épouse a parlé de quatre ou cinq semaines (p.-v. de l'audition du 6 décembre 2006 Q 22-24). De même, malgré l'intensité des fréquents interrogatoires menés pendant plus de dix ans, l'intéressé n'a pas pu spécifier quelles étaient les accusations concrètes retenues contre lui. De plus, il est resté confus, voire incohérent en situant le début de ses "problèmes" avec les autorités tantôt en 1987, tantôt en 1991 (cf. p.-v. de l'audition du 15 novembre 2006 p. 7 ; p.-v. de l'audition du 6 décembre 2006 Q 32). Enfin, on ne saurait raisonnablement souscrire aux affirmations de l'intéressé concernant l'acharnement des autorités à son endroit durant plus de quatorze ans (deux à trois gardes à vue hebdomadaires, interrogatoires, tortures ; cf. p.-v. de l'audition du 6 décembre 2006 Q 45-48). En effet, comme l'a relevé l'ODM, si les autorités avaient sérieusement soupçonné le recourant d'activiste en faveur du PKK - infraction grave assortie d'une peine d'emprisonnement - elles auraient ouvert une procédure pénale à son encontre afin d'établir sa culpabilité ou son innocence, plutôt que de perdre leur temps durant des années avec des interrogatoires fréquents. Le fait que le recourant ait toujours été relaxé au terme de ses interrogatoires, faute de preuve, indique, au contraire, que les autorités n'avaient aucune preuve tangible contre lui.</w:t>
      </w:r>
    </w:p>
    <w:p>
      <w:r>
        <w:rPr>
          <w:b/>
        </w:rPr>
        <w:t>E. 3.3.3</w:t>
      </w:r>
    </w:p>
    <w:p>
      <w:r>
        <w:t>Certes, et contrairement à l'ODM, le Tribunal n'exclut pas que le recourant ait été recruté comme gardien de village, dès lors que ce fait s'inscrirait parfaitement dans le contexte prévalant dans la région d'origine du recourant dans les années 1990. Toutefois, selon les informations à disposition du Tribunal relatives au recrutement des gardiens, le critère principal du choix est la loyauté affichée envers le gouvernement : les autorités veillent à ce que les gardiens de village recrutés soient dignes de confiance et n'aient pas eu, dans leur passé, un lien concret avec le PKK (cf. également l'art. 5 de la loi turque n° 442 sur les villages, abrogée en 1962, qui définit les exigences principales pour devenir gardien du village : "aucune implication dans des activités subversives, séparatistes ou réactionnaires"). Par conséquent, si le recrutement en qualité de gardien de village devait être admis, bien que la pièce censée l'attester n'ait été fournie qu'en copie, il ne serait pas plausible que le recourant ait été suspecté par les forces de sécurité turques - qui lui auraient confié non seulement la charge de gardien de village, mais encore une arme automatique (p.-v. de l'audition du 6 décembre 2006 Q 57-61) de soutien concret et volontaire au PKK.</w:t>
      </w:r>
    </w:p>
    <w:p>
      <w:r>
        <w:rPr>
          <w:b/>
        </w:rPr>
        <w:t>E. 3.3.4</w:t>
      </w:r>
    </w:p>
    <w:p>
      <w:r>
        <w:t>En tout état de cause, le Tribunal ne saurait donner un quelconque crédit à la pièce émanant des autorités de J._______ (cf. supra let G), selon laquelle le recourant serait encore recherché pour avoir abandonné sa charge de gardien de village. En effet, ce document n'est pas conforme à la loi turque qui ne prévoit aucune sanction pour un gardien de village qui démissionnerait de ses fonctions, pour autant qu'il rende ses armes voire, s'agissant des villages où des affrontements entre PKK et forces de l'ordre subsistent, qu'ils les quittent ; des dizaines de milliers de gardiens ont d'ailleurs, depuis 1985, donné leur démission sans avoir encouru de sanctions. En outre, le document fourni souffre de vices formels en ce sens qu'il a été déposé sous forme de copie, ne présente pas d'en-tête officiel et n'est même pas daté. En outre, le recourant a indiqué ne pas savoir comment et quand son fils était entré en possession de cette pièce (cf. écrit du 29 mai 2007). Son authenticité n'étant pas établie, cette pièce n'est en aucune manière susceptible de rendre vraisemblable l'existence d'une persécution ciblée contre le recourant pour des motifs politiques ou analogues.</w:t>
      </w:r>
    </w:p>
    <w:p>
      <w:r>
        <w:rPr>
          <w:b/>
        </w:rPr>
        <w:t>E. 3.3.5</w:t>
      </w:r>
    </w:p>
    <w:p>
      <w:r>
        <w:t>Sur ce point toujours, les allégués du recourant selon lesquels il était recherché au niveau national, sa photographie ayant été diffusée à tous les postes-frontières et les aéroports du pays, raison pour laquelle il n'avait pas pu quitter le pays en 2000 ou 2001, sont manifestement invraisemblables. En effet, il a lui même admis avoir pu quitter son pays à cette époque pour s'établir en Allemagne avec sa femme et son fils cadet. Enfin, bien que le recourant ait déclaré que son fils, K._______, avait été questionné par la police, à plusieurs reprises, afin qu'il dévoile le lieu où se trouvait son père (cf. supra let. G), il n'y a pas de raison de considérer cet intérêt de la police comme insolite. En effet, il est compréhensible que le départ soudain d'un habitant d'un petit village, intensivement surveillé par l'armée en raison de sa proximité avec les bases du PKK, puisse susciter la curiosité des autorités de la commune, mais cela ne signifie en tout cas pas qu'une procédure de police judiciaire, pour des infractions pénales de nature politique ou pour abandon de poste, aurait été ouverte contre le recourant et qu'il serait recherché au plan national.</w:t>
      </w:r>
    </w:p>
    <w:p>
      <w:r>
        <w:rPr>
          <w:b/>
        </w:rPr>
        <w:t>E. 3.4</w:t>
      </w:r>
    </w:p>
    <w:p>
      <w:r>
        <w:t>En définitive, les recourants n'ont pas établi l'existence de faits susceptibles de permettre au Tribunal d'admettre l'existence d'une persécution ciblée contre eux, au sens des art. 3 et 7 LAsi, de la part des autorités turques. Il s'ensuit que le recours, en tant qu'il conteste le refus de reconnaissance de la qualité de réfugié et le refus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à savoir lorsqu'aucune des conditions fixées par la loi pour une admission provisoire n'est remplie (cf.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6.2</w:t>
      </w:r>
    </w:p>
    <w:p>
      <w:r>
        <w:t>L'exécution du renvoi ne contrevient pas au principe de non-refoulement de l'art. 5 LAsi, les recourants n'ayant pas rendu vraisemblable leur qualité de réfugiés (cf. supra). Par ailleurs, pour les raisons exposées ci-dessus, ils n'ont pas établi que leur retour dans leur pays d'origine les exposera à un risque, actuel, concret et sérieux d'être victimes de traitements cruels, inhumains ou dégradants contraires aux engagements internationaux contractés par la Suisse, en particulier à l'art. 3 CEDH ou à l'art. 3 Conv. torture. L'exécution du renvoi est donc licite au sens de l'art. 83 al. 3 LEtr.</w:t>
      </w:r>
    </w:p>
    <w:p>
      <w:r>
        <w:rPr>
          <w:b/>
        </w:rPr>
        <w:t>E. 6.3</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dont le contenu correspond matériellement à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7.4</w:t>
      </w:r>
    </w:p>
    <w:p>
      <w:r>
        <w:t>S'agissant de la situation personnelle de la recourante et de son enfant, C._______, il y a lieu de se prononcer comme suit. Il ressort du dossier que la recourante souffre d'un état dépressif sévère (F 32.2) nécessitant une médication anti-dépressive et un suivi régulier. Malgré son état de santé précaire, aucun traitement en milieu hospitalier ne s'est révélé nécessaire depuis le début de son suivi en février 2009. De même, les rapports médicaux ne font nullement mention d'un éventuel risque suicidaire, mais indiquent, au contraire, que la recourante fait son possible pour assumer au mieux son rôle de mère. Cependant, elle n'est aujourd'hui plus en mesure d'assumer seule les tâches éducatives et quotidiennes qui lui incombent. Il ressort des certificats médicaux que les troubles psychiques sont principalement liés au fait que la recourante se sent complètement perdue et démunie en l'absence de ses enfants restés en Turquie ; l'incarcération de son époux pour viol, depuis août 2009, a encore péjoré la santé mentale de l'intéressée (cf. supra let. M). Ainsi, il n'est pas prouvé que son état dépressif persistera lorsqu'elle vivra à nouveau au sein de la cellule familiale - qu'elle a décrit comme solidaire - et que les principales causes de sa tristesse (solitude et éloignement familial) auront disparu. Même si une prise en charge médicale durable devait s'avérer nécessaire, pour la recourante, à son retour en Turquie, ce qui n'est nullement établi, elle pourrait y obtenir sans grandes difficultés des médicaments du type de ceux prescrits en Suisse, lesquels sont courants et accessibles dans son pays d'origine. S'agissant de C._______, il ressort du dossier que l'enfant est pris en charge sur le plan socio-éducatif, depuis le 27 juillet 2009, par l'autorité cantonale de protection de la jeunesse en raison de l'incapacité de sa mère d'assumer seule ses tâches éducatives. Il sied de relever que le couple A._______ et B._______, qui prétend qu'un renvoi en Turquie serait dangereux pour leur fils, n'a produit aucun document susceptible de l'établir (cf. supra let. L, M, et N). Le Tribunal observe que l'enfant est livré à lui-même en Suisse avec un père qui était détenu (et qui devrait avoir achevé ou achèvera prochainement de purger sa peine d'emprisonnement ferme) et une mère démunie dans sa solitude. En Turquie, l'enfant pourrait être pris en charge non seulement par son père, voire sa mère, mais encore par l'un ou l'autre de ses nombreux frères et soeurs, tous majeurs; ainsi, il pourrait mieux se développer, dans son propre environnement social et culturel, au sein d'une structure familiale pouvant lui offrir une stabilité et des repères moraux. Il présente toutes les chances de réinsertion dans son pays d'origine, dès lors que sa langue maternelle est le turc et qu'il a été éduqué selon les valeurs culturelles de ce pays. En effet, la recourante et son fils disposent d'une possibilité de soutien de la part des membres de leur famille plus ou moins proches (... enfants/frères et soeurs majeurs, établis à E._______, voire ailleurs, et les trois soeurs et quatre frères de la recourante). Ces proches seront aptes à leur assurer une aide convenable à leur réinsertion, à savoir un logement et le minimum vital. Ils seront également en mesure de soutenir la recourante psychologiquement et de financer, en cas de véritable nécessité, sa prise en charge médicale. S'agissant enfin de la situation du recourant, aucun élément ne s'oppose à son retour en Turquie, dès qu'il a ou aura purgé sa peine privative de liberté. Il est en mesure de trouver rapidement une activité lucrative susceptible d'assurer sa subsistance et celle de son noyau familial, d'autant plus qu'il n'a pas allégué de problème de santé particulier de nature à l'handicaper.</w:t>
      </w:r>
    </w:p>
    <w:p>
      <w:r>
        <w:rPr>
          <w:b/>
        </w:rPr>
        <w:t>E. 7.5</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procédure, il y aurait lieu de mettre les frais de procédure à la charge des recourants (art. 63 al. 1 PA et 2 et 3 let. b du règlement du 21 février 2008 concernant les frais, dépens et indemnités fixés par le Tribunal administratif fédéral [FITAF, RS 173.320.2]).</w:t>
      </w:r>
    </w:p>
    <w:p>
      <w:r>
        <w:rPr>
          <w:b/>
        </w:rPr>
        <w:t>E. 10.2</w:t>
      </w:r>
    </w:p>
    <w:p>
      <w:r>
        <w:t>Toutefois, les recourants ont sollicité lors du dépôt du recours la dispense des frais de procédure. Leur requête doit être admise, dès lors qu'ils ont prouvé leur indigence et que leurs conclusions ne pouvaient être considérées comme, d'emblée vouées à l'échec (art. 65 al. 1 PA). (dispositif page suivante)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