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E-4527/2016 vom 8. August 2016</w:t>
      </w:r>
    </w:p>
    <w:p>
      <w:r>
        <w:t>Bundesverwaltungsgericht, 2016-08-08, DE</w:t>
      </w:r>
    </w:p>
    <w:p>
      <w:r>
        <w:rPr>
          <w:b/>
        </w:rPr>
        <w:t xml:space="preserve">Quelle: </w:t>
      </w:r>
      <w:r>
        <w:t>https://mcp.opencaselaw.ch/entscheid/bvger_E-4527_2016</w:t>
      </w:r>
    </w:p>
    <w:p>
      <w:r>
        <w:t>FR: TAF E-4527/2016 du 8 août 2016</w:t>
      </w:r>
    </w:p>
    <w:p>
      <w:r>
        <w:t>IT: TAF E-4527/2016 del 8 agosto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insoweit einzutreten (Art. 108 Abs. 2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 Soweit der Beschwerdeführer beantragt, es sei auf sein Asylgesuch einzutreten, nimmt er eine Erweiterung des Streitgegenstandes vor, was unzulässig ist. Auf die Beschwerde ist insoweit nicht einzutreten.</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3.2</w:t>
      </w:r>
    </w:p>
    <w:p>
      <w:r>
        <w:t>Die Schlussfolgerung der Vorinstanz ist weder in tatsächlicher noch in rechtlicher Hinsicht zu beanstanden. Die Beschwerde zeigt nicht auf, inwiefern die Vorinstanz Bundesrecht verletzt oder den Sachverhalt fehlerhaft festgestellt haben soll. Solches ist auch nicht ersichtlich. So bestätigt die Beschwerde selbst die Zuständigkeit Bulgariens (Beschwerde S. 4). Die Vorinstanz hat aufgrund des am 28. April 2016 in Bulgarien gestellten Asylgesuchs zu Recht die Zuständigkeit Bulgariens erkannt und die bulgarischen Behörden - gestützt auf Art. 18 Abs. 1 Bst. b Dublin-III-VO - um Übernahme ersucht. Dass Bulgarien nicht ausdrücklich Stellung genommen hat, bleibt ohne Bedeutung. Bereits mit Fristablauf wird die Zustimmung fingiert. Bulgarien ist somit verpflichtet, die Personen aufzunehmen und angemessene Vorkehrungen für die Ankunft zu treffen (Art. 22 Abs. 7 Dublin-III-VO). Sodann geht das Bundesverwaltungsgericht in ständiger Rechtsprechung davon aus, dass es keine Gründe für die Annahme gibt, das Asylverfahren und die Aufnahmebedingungen in Bulgarien wiesen systemische Schwachstellen im Sinne von Art. 3 Abs. 2 Dublin-III-VO auf (statt vieler Urteile des BVGer E-1210/2016 vom 2. März 2016; E-838/2016 vom 16. Februar 2016; E-8188/2015 vom 11. Februar 2016; D-197/2016 vom 19. Januar 2016 und D-7940/2015 vom 14. Januar 2016). Trotz gegenteiliger Kritik ("Erniedrigt, misshandelt, schutzlos: Flüchtlinge in Bulgarien", PRO ASYL, April 2015), liegen keine Anhaltspunkte vor, die eine Änderung der Rechtsprechung nahelegen. In der Beschwerde werden solche auch nicht dargetan. Soweit der Beschwerdeführer eine unmenschliche Behandlung befürchtet, erschöpfen sich seine Vorbringen in nicht überprüfbaren persönlichen Erlebnissen. Sie lassen den Schluss nicht zu, dass Bulgarien im vorliegenden Fall seine staatsvertraglichen Verpflichtungen missachten würde und die Beschwerdeführenden einer menschenunwürdigen oder erniedrigenden Behandlung ausgesetzt wären (Art. 3 EMRK). Bulgarien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Bulgarien die Richtlinien des Europäischen Parlaments und Rats 2013/32/EU vom 26. Juni 2013 betreffend gemeinsames Verfahren für die Zuerkennung und Aberkennung des internationalen Schutzes (sog. Verfahrensrichtlinie) sowie die Richtlinie 2013/33/EU vom 26. Juni 2013 zur Festlegung von Normen für die Aufnahme von Personen, die internationalen Schutz beantragen (sog. Aufnahmerichtlinie). Schliesslich liegen auch keine Umstände vor, die einen - nach Ermessen zu beurteilenden - Selbsteintritt aus humanitären Gründen im Rahmen der Souveränitätsklausel (Art. 29a Abs. 3 Asylverordnung 1 [AsylV 1, SR 142.311] i.V.m. Art. 17 Abs. 1 Dublin-III-VO) rechtfertigten. Die Vorinstanz ist zu Recht auf das Asylgesuch nicht eingetreten. Die Überstellung nach Bulgarien als zuständigen Dublin-Staat verletzt kein Recht.</w:t>
      </w:r>
    </w:p>
    <w:p>
      <w:r>
        <w:rPr>
          <w:b/>
        </w:rPr>
        <w:t>E. 4</w:t>
      </w:r>
    </w:p>
    <w:p>
      <w:r>
        <w:t>Aus diesen Erwägungen ergibt sich, dass die angefochtene Verfügung Bundesrecht nicht verletzt und auch sonst nicht zu beanstanden ist (Art. 106 AsylG und Art. 49 VwVG). Die Beschwerde ist abzuweisen, soweit darauf eizutreten ist. Mit vorliegendem Urteil fällt der am 28. Juli 2016 verfügte Vollzugsstopp dahin und ist der Antrag betreffend aufschiebende Wirkung gegenstandslos geworden.</w:t>
      </w:r>
    </w:p>
    <w:p>
      <w:r>
        <w:rPr>
          <w:b/>
        </w:rPr>
        <w:t>E. 5</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