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E-4520/2014 vom 30. September 2014</w:t>
      </w:r>
    </w:p>
    <w:p>
      <w:r>
        <w:t>Bundesverwaltungsgericht, 2014-09-30, DE</w:t>
      </w:r>
    </w:p>
    <w:p>
      <w:r>
        <w:rPr>
          <w:b/>
        </w:rPr>
        <w:t xml:space="preserve">Quelle: </w:t>
      </w:r>
      <w:r>
        <w:t>https://mcp.opencaselaw.ch/entscheid/bvger_E-4520_2014</w:t>
      </w:r>
    </w:p>
    <w:p>
      <w:r>
        <w:t>FR: TAF E-4520/2014 du 30 septembre 2014</w:t>
      </w:r>
    </w:p>
    <w:p>
      <w:r>
        <w:t>IT: TAF E-4520/2014 del 30 settembre 2014</w:t>
      </w:r>
    </w:p>
    <w:p>
      <w:pPr>
        <w:pStyle w:val="Heading2"/>
      </w:pPr>
      <w:r>
        <w:t>Regeste</w:t>
      </w:r>
    </w:p>
    <w:p>
      <w:r>
        <w:t>Vollzug der Wegweisung</w:t>
      </w:r>
    </w:p>
    <w:p>
      <w:pPr>
        <w:pStyle w:val="Heading2"/>
      </w:pPr>
      <w:r>
        <w:t>Erwägungen</w:t>
      </w:r>
    </w:p>
    <w:p>
      <w:r>
        <w:rPr>
          <w:b/>
        </w:rPr>
        <w:t>E. 1</w:t>
      </w:r>
    </w:p>
    <w:p>
      <w:r>
        <w:t>Gemäss Art. 31 VGG ist Sachverhaltdas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2 AsylG und Art. 52 Abs. 1 VwVG) ist einzutreten.</w:t>
      </w:r>
    </w:p>
    <w:p>
      <w:r>
        <w:rPr>
          <w:b/>
        </w:rPr>
        <w:t>E. 2</w:t>
      </w:r>
    </w:p>
    <w:p>
      <w:r>
        <w:t>Das Bundesverwaltungsgericht überprüft die angefochtene Verfügung auf Verletzung von Bundesrecht sowie unrichtige und unvollständige Feststellung des rechtserheblichen Sachverhalts hin (Art. 106 Abs. 1 AsylG).</w:t>
      </w:r>
    </w:p>
    <w:p>
      <w:r>
        <w:rPr>
          <w:b/>
        </w:rPr>
        <w:t>E. 3</w:t>
      </w:r>
    </w:p>
    <w:p>
      <w:r>
        <w:t>Die vorliegende Beschwerde richtet sich ausschliesslich gegen den Vollzug der Wegweisung. Die Ziffern 1 (Verneinung der Flüchtlingseigenschaft), 2 (Ablehnung des Asylgesuchs) und 3 (verfügte Wegweisung) des Dispositivs der Verfügung des BFM vom 31. Juli 2014 sind mangels Anfechtung in Rechtskraft erwachsen.</w:t>
      </w:r>
    </w:p>
    <w:p>
      <w:r>
        <w:rPr>
          <w:b/>
        </w:rPr>
        <w:t>E. 4</w:t>
      </w:r>
    </w:p>
    <w:p>
      <w:r>
        <w:t>Auf die Einholung einer Vernehmlassung wurde gestützt auf Art. 111a Abs. 1 AsylG verzichtet.</w:t>
      </w:r>
    </w:p>
    <w:p>
      <w:r>
        <w:rPr>
          <w:b/>
        </w:rPr>
        <w:t>E. 5.1</w:t>
      </w:r>
    </w:p>
    <w:p>
      <w:r>
        <w:t>In der Rechtsmitteleingabe wird vorgebracht, die Vorinstanz habe in der angefochtenen Verfügung die erhebliche Suizidalität der Beschwerdeführerin nicht beachtet. Damit rügt die Beschwerdeführerin sinngemäss eine Verletzung des rechtlichen Gehörs (Begründungspflicht).</w:t>
      </w:r>
    </w:p>
    <w:p>
      <w:r>
        <w:rPr>
          <w:b/>
        </w:rPr>
        <w:t>E. 5.2</w:t>
      </w:r>
    </w:p>
    <w:p>
      <w:r>
        <w:t>Der Grundsatz des rechtlichen Gehörs beinhaltet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Die Begründung eines Entscheids muss so abgefasst sein, dass der Betroffene ihn sachgerecht anfechten kann. Es müssen die Überlegungen kurz genannt werden, von denen sich die Behörde leiten liess und auf die sie ihren Entscheid stützt (BVGE 2009/35 E. 6.4.1).</w:t>
      </w:r>
    </w:p>
    <w:p>
      <w:r>
        <w:rPr>
          <w:b/>
        </w:rPr>
        <w:t>E. 5.3</w:t>
      </w:r>
    </w:p>
    <w:p>
      <w:r>
        <w:t>Aufgrund der Akten ergibt sich, dass die Beschwerdeführerin Eheprobleme hat und wegen wiederholten Äusserungen, sich das Leben nehmen zu wollen, am 17. März 2014 in die Integrierte Psychiatrie F._______ eingewiesen wurde. Dort wurde eine Posttraumatische Belastungsstörung sowie eine Anpassungstörung mit längerer depressiver Reaktion diagnostiziert. Die Beschwerdeführerin blieb bis am 26. März 2014 hospitalisiert. Zwischen dem 5. April 2014 und dem 14. Juni 2014 besuchte sie wöchentlich eine ambulante Psychotherapie. Am 6. August 2014 wurde die Beschwerdeführerin in die Psychiatrische Universitätsklinik C._______ eingewiesen. Gemäss dem ärztlichen Überweisungsschreiben an die Psychiatrische Universitätsklinik hat sie nach der Entlassung aus dem Frauenhaus und der Übersiedlung in die offene Durchgangsstation sowie dem Erhalt des negativen Asylentscheides dekompensiert.</w:t>
      </w:r>
    </w:p>
    <w:p>
      <w:r>
        <w:rPr>
          <w:b/>
        </w:rPr>
        <w:t>E. 5.4</w:t>
      </w:r>
    </w:p>
    <w:p>
      <w:r>
        <w:t>Die Vorinstanz hielt unter Ziffer 1 der angefochtenen Verfügung (Sachverhalt) zum Gesundheitszustand der Beschwerdeführerin fest, sie habe psychische Probleme. Im Rahmen der Prüfung der Zumutbarkeit des Vollzugs der Wegweisung führte sie sodann aus, hinsichtlich der medizinischen Beschwerden sei es der Beschwerdeführerin zuzumuten, zukünftig die notwendige medizinische Versorgung in ihrem Heimatstaat zu beanspruchen. Mit diesen pauschalen Ausführungen ist die Vorinstanz nicht hinreichend auf die individuell konkrete Situation der Beschwerdeführerin eingegangen. Solches wäre sie aber in Anbetracht der aktenkundigen Diagnose (Posttraumatische Belastungsstörung, Anpassungsstörung) sowie Suizidalität gehalten gewesen. Die Vorinstanz hat die Diagnose und die Suizidalität in der angefochtenen Verfügung weder erwähnt noch sich mit der diesbezüglichen Thematik nur ansatzweise auseinandergesetzt. Namentlich hat sie auch nicht konkret dargelegt, wo sich die Beschwerdeführerin diesbezüglich in ihrer Heimat behandeln lassen kann. Damit ist für die Beschwerdeführerin nicht nachvollziehbar, aufgrund welcher Überlegungen die Vorinstanz den Vollzug der Wegweisung trotz der psychischen Probleme und der Suizidalität als zumutbar erachtet. Die Vorinstanz hat demnach die ihr obliegende Begründungspflicht verletzt. Die erhobene Rüge erweist sich als zutreffend.</w:t>
      </w:r>
    </w:p>
    <w:p>
      <w:r>
        <w:rPr>
          <w:b/>
        </w:rPr>
        <w:t>E. 5.5</w:t>
      </w:r>
    </w:p>
    <w:p>
      <w:r>
        <w:t>Die Beschwerde ist somit gutzuheissen. Die Verfügung vom 31. Juli 2014 ist - soweit sie nicht in Rechtskraft erwachsen ist - aufzuheben und die Sache im Sinne der Erwägungen einem neuen Entscheid zuzuführen.</w:t>
      </w:r>
    </w:p>
    <w:p>
      <w:r>
        <w:rPr>
          <w:b/>
        </w:rPr>
        <w:t>E. 6.1</w:t>
      </w:r>
    </w:p>
    <w:p>
      <w:r>
        <w:t>Bei diesem Ausgang des Verfahrens sind der Beschwerdeführerin keine Verfahrenskosten aufzuerlegen (Art. 63 Abs. 1 VwVG).</w:t>
      </w:r>
    </w:p>
    <w:p>
      <w:r>
        <w:rPr>
          <w:b/>
        </w:rPr>
        <w:t>E. 6.2</w:t>
      </w:r>
    </w:p>
    <w:p>
      <w:r>
        <w:t>Obsiegende Parteien haben Anspruch auf eine Parteientschädigung für die ihnen erwachsenen notwendigen Kosten (Art. 64 Abs. 1 VwVG, Art. 7 Abs. 1 und 4 des Reglements vom 21. Februar 2008 über die Kosten und Entschädigungen vor dem Bundesverwaltungsgericht (VGKE, SR 173.320.2). Die Rechtsvertreterin hat keine Kostennote eingereicht. Auf entsprechende Nachforderung kann verzichtet werden, da der notwendige Vertretungsaufwand aufgrund der Akten zuverlässig abgeschätzt werden kann. Der notwendige Auffand war relativ gering. Unter Berücksichtigung der massgebenden Berechnungsfaktoren (Art. 8, 9 und 11 VGKE) ist die Parteientschädigung auf Fr. 500.- (inkl. Auslagen und Mehrwertsteuer) festzusetzen. Die Vorinstanz ist anzuweisen, der Beschwerdeführerin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