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E-4519/2016 vom 8. August 2016</w:t>
      </w:r>
    </w:p>
    <w:p>
      <w:r>
        <w:t>Bundesverwaltungsgericht, 2016-08-08, DE</w:t>
      </w:r>
    </w:p>
    <w:p>
      <w:r>
        <w:rPr>
          <w:b/>
        </w:rPr>
        <w:t xml:space="preserve">Quelle: </w:t>
      </w:r>
      <w:r>
        <w:t>https://mcp.opencaselaw.ch/entscheid/bvger_E-4519_2016</w:t>
      </w:r>
    </w:p>
    <w:p>
      <w:r>
        <w:t>FR: TAF E-4519/2016 du 8 août 2016</w:t>
      </w:r>
    </w:p>
    <w:p>
      <w:r>
        <w:t>IT: TAF E-4519/2016 del 8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Beschwerdeführenden beantragen, es sei auf ihre Asylgesuche einzutreten, nehmen sie eine Erweiterung des Streitgegenstandes vor, was unzulässig ist. Auf die Beschwerde ist insoweit nicht einzutreten.</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Zuständigkeit Bulgariens (Beschwerde S. 4). Die Vorinstanz hat aufgrund der am 28. April 2016 in Bulgarien gestellten Asylgesuche zu Recht die Zuständigkeit Bulgariens erkannt und die bulgarischen Behörden - gestützt auf Art. 18 Abs. 1 Bst. b Dublin-III-VO - um Übernahme ersucht. Dass Bulgarien nicht ausdrücklich Stellung genommen hat, bleibt ohne Bedeutung. Bereits mit Fristablauf wird die Zustimmung fingiert. Bulgarien ist somit verpflichtet, die Personen aufzunehmen und angemessene Vorkehrungen für die Ankunft zu treffen (Art. 22 Abs. 7 Dublin-III-VO). Sodann geht das Bundesverwaltungsgericht in ständiger Rechtsprechung davon aus, dass es keine Gründe für die Annahme gibt, das Asylverfahren und die Aufnahmebedingungen in Bulgarien wiesen systemische Schwachstellen im Sinne von Art. 3 Abs. 2 Dublin-III-VO auf (statt vieler Urteile des BVGer E-1210/2016 vom 2. März 2016; E-838/2016 vom 16. Februar 2016; E-8188/2015 vom 11. Februar 2016; D-197/2016 vom 19. Januar 2016 und D-7940/2015 vom 14. Januar 2016). Trotz gegenteiliger Kritik ("Erniedrigt, misshandelt, schutzlos: Flüchtlinge in Bulgarien", PRO ASYL, April 2015), liegen keine Anhaltspunkte vor, die eine Änderung der Rechtsprechung nahelegen. In der Beschwerde werden solche auch nicht dargetan. Soweit die Beschwerdeführerenden eine unmenschliche Behandlung befürchten, erschöpfen sich ihre Vorbringen in nicht überprüfbaren persönlichen Erlebnissen. Sie lassen den Schluss nicht zu, dass Bulgarien im vorliegenden Fall seine staatsvertraglichen Verpflichtungen missachten würde und die Beschwerdeführenden einer menschenunwürdigen oder erniedrigenden Behandlung ausgesetzt wären (Art. 3 EMRK).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Schliesslich liegen auch keine Umstände vor, die einen - nach Ermessen zu beurteilenden - Selbsteintritt aus humanitären Gründen im Rahmen der Souveränitätsklausel (Art. 29a Abs. 3 Asylverordnung 1 [AsylV 1, SR 142.311] i.V.m. Art. 17 Abs. 1 Dublin-III-VO) rechtfertigten. Die Vorinstanz ist zu Recht auf die Asylgesuche nicht eingetreten. Die Überstellung nach Bulgarien als zuständigen Dublin-Staat verletzt kein Recht.</w:t>
      </w:r>
    </w:p>
    <w:p>
      <w:r>
        <w:rPr>
          <w:b/>
        </w:rPr>
        <w:t>E. 4</w:t>
      </w:r>
    </w:p>
    <w:p>
      <w:r>
        <w:t>Aus diesen Erwägungen ergibt sich, dass die angefochtene Verfügung Bundesrecht nicht verletzt und auch sonst nicht zu beanstanden ist (Art. 106 AsylG und Art. 49 VwVG). Die Beschwerde ist abzuweisen, soweit darauf eizutreten ist. Mit vorliegendem Urteil fällt der am 28. Juli 2016 verfügte Vollzugsstopp dahin und ist der Antrag betreffend aufschiebende Wirkung gegenstandslos geworden.</w:t>
      </w:r>
    </w:p>
    <w:p>
      <w:r>
        <w:rPr>
          <w:b/>
        </w:rPr>
        <w:t>E. 5</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