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E-4515/2010 vom 22. Mai 2012</w:t>
      </w:r>
    </w:p>
    <w:p>
      <w:r>
        <w:t>Bundesverwaltungsgericht, 2012-05-22, DE</w:t>
      </w:r>
    </w:p>
    <w:p>
      <w:r>
        <w:rPr>
          <w:b/>
        </w:rPr>
        <w:t xml:space="preserve">Quelle: </w:t>
      </w:r>
      <w:r>
        <w:t>https://mcp.opencaselaw.ch/entscheid/bvger_E-4515_2010</w:t>
      </w:r>
    </w:p>
    <w:p>
      <w:r>
        <w:t>FR: TAF E-4515/2010 du 22 mai 2012</w:t>
      </w:r>
    </w:p>
    <w:p>
      <w:r>
        <w:t>IT: TAF E-4515/2010 del 22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abschliessend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seiner Verfügung an, die Vorbringen der Beschwerdeführerin würden den Anforderungen an die Glaubhaftigkeit nicht standhalten. So sei festzustellen, dass sie in ihrer Eingabe vom 25. März 2010 zugegeben habe, Marokko bereits am 27. August 2007 verlassen zu haben und im Besitz eines mit einer temporären Arbeitsbewilligung versehenen Schengen-Visums nach Italien zu (...) gereist zu sein, bei (...) sie sich bis zum Ablauf der Gültigkeit (...) aufgehalten habe. Angesichts dieser Sachlage sei ihren gesuchsbegründenden Vorbringen jegliche Grundlage entzogen. Die angeblich von einem Iraker in der Schweiz an der Beschwerdeführerin begangenen (...) seien nicht geeignet, asylrelevante Nachteile im Sinne des Asylgesetzes darzutun. Es sei ihr unbenommen, diesen Sachverhalt bei der zuständigen Behörde zur Anzeige zu bringen. Des Weiteren könne erwartet werden, dass sie auch gegen die Person, die angeblich ihre Identitätspapiere in der Schweiz zurückbehalten habe, strafrechtlich vorgehe und diese nach Wiederinbesitznahme beim Bundesamt einreiche. In diesem Zusammenhang sei überdies festzuhalten, dass sie in Verletzung ihrer Mitwirkungspflicht sowohl bei der Kurzbefragung als auch anlässlich der Anhörung ausgesagt habe, ihre Identitätspapiere würden sich in Marokko bei ihrer Mutter befinden. Die Folge der Ablehnung eines Asylgesuchs sei in der Regel die Wegweisung aus der Schweiz, und der Vollzug sei vorliegend zulässig, zumutbar und möglich.</w:t>
      </w:r>
    </w:p>
    <w:p>
      <w:r>
        <w:rPr>
          <w:b/>
        </w:rPr>
        <w:t>E. 3.2</w:t>
      </w:r>
    </w:p>
    <w:p>
      <w:r>
        <w:t>In der Rechtsmitteleingabe wurde nicht bestritten, dass sich die zur Begründung des Asylgesuchs geltend gemachten Ereignisse in Marokko im Jahre (...) schon deshalb nicht ereignet haben können, weil die Beschwerdeführerin ihr Heimatland bereits am 27. August 2007 verliess. Zudem können der Beschwerde auch keine Entgegnungen zur stichhaltigen Argumentation des Bundesamtes hinsichtlich der geltend gemachten Vergewaltigungen und bezüglich des Zurückbehaltens ihrer Identitätspapiere in der Schweiz entnommen werden. An dieser Stelle ist deshalb zur Vermeidung von Wiederholungen vollumfänglich auf die zutreffenden Ausführungen in der angefochtenen Verfügung zu verweisen. Als nachgeschoben und deshalb als nicht glaubhaft zu qualifizieren sind die erstmals in der Beschwerde geltend gemachten Vorbringen, wonach die Beschwerdeführerin seit (...) mit Telefonanrufen bedroht und belästigt werde. Ein Marokkaner namens (...) habe die Mutter und (...) angerufen und ihnen gesagt, die Beschwerdeführerin würde umgebracht, wenn sie respektive ein Iraker nicht aufhörten, ihn und andere zu bedrohen. Ausserdem habe er ihnen erzählt, sie führe ein unehrenhaftes Leben in der Schweiz, es (...) und sie wohne mit fremden Männern zusammen. Die (...) Brüder hätten der Beschwerdeführerin daraufhin gedroht, sie bei einer Rückkehr nach Marokko umzubringen. Es wäre der Beschwerdeführerin ohne weiteres zumutbar und auch möglich gewesen, diese Vorbringen bereits in ihrer Stellungnahme vom 25. März 2010 respektive im späteren Verlauf des erstinstanzlichen Verfahrens geltend zu machen, was sie indessen in Verletzung ihrer Mitwirkungspflicht unterlassen hat. Auf das weitere Vorbringen, sie habe am (...) Anzeige gegen einen Syrer wegen Morddrohungen erstattet, ist mangels Relevanz für den Ausgang des Beschwerdeverfahrens nicht einzugehen.</w:t>
      </w:r>
    </w:p>
    <w:p>
      <w:r>
        <w:rPr>
          <w:b/>
        </w:rPr>
        <w:t>E. 3.3</w:t>
      </w:r>
    </w:p>
    <w:p>
      <w:r>
        <w:t>Zusammenfassend ergibt sich, dass die Vorbringen der Beschwerdeführerin den Anforderungen an die Glaubhaftigkeit nicht standzuhalten vermögen. Es erübrigt sich angesichts der vorstehenden Erwägungen, auf die weiteren Ausführungen auf Beschwerdeebene einzugehen, da diese nicht geeignet sind, eine andere Beurteilung herbeizuführen. Das BFM hat das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(vgl. BVGE 2009/50 E. 9 S. 733, mit Hinweisen auf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5.3.2.1</w:t>
      </w:r>
    </w:p>
    <w:p>
      <w:r>
        <w:t>Aufgrund der allgemeinen Menschenrechtssituation und der politisch-wirtschaftlichen Lage in Marokko ist im heutigen Zeitpunkt nicht von der generellen Unzumutbarkeit des Wegweisungsvollzugs auszugehen.</w:t>
      </w:r>
    </w:p>
    <w:p>
      <w:r>
        <w:rPr>
          <w:b/>
        </w:rPr>
        <w:t>E. 5.3.2.2</w:t>
      </w:r>
    </w:p>
    <w:p>
      <w:r>
        <w:t>Vorliegend ergeben sich aus den Akten auch keine individuellen Umstände, welche es rechtfertigen würden, den Vollzug der Wegweisung nach Marokko als unzumutbar zu qualifizieren. Bei der Beschwerdeführerin handelt es sich um eine - soweit aktenkundig - gesunde junge Frau mit abgeschlossener Ausbildung als (...) und Berufserfahrung, die im Heimatstaat über ein tragfähiges verwandtschaftliches Beziehungsnetz verfügt (vgl. Akten BFM A1/10 S. 2, 3 und 4), das ihr beim Wiederaufbau einer neuen Existenzgrundlage behilflich sein kann.</w:t>
      </w:r>
    </w:p>
    <w:p>
      <w:r>
        <w:rPr>
          <w:b/>
        </w:rPr>
        <w:t>E. 5.3.3</w:t>
      </w:r>
    </w:p>
    <w:p>
      <w:r>
        <w:t>Nach dem Gesagten erweist sich der Vollzug der Wegweisung auch als zumutbar.</w:t>
      </w:r>
    </w:p>
    <w:p>
      <w:r>
        <w:rPr>
          <w:b/>
        </w:rPr>
        <w:t>E. 5.4</w:t>
      </w:r>
    </w:p>
    <w:p>
      <w:r>
        <w:t>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Verfahrenskosten grundsätzlich der Beschwerdeführerin aufzuerlegen (Art. 63 Abs. 1 VwVG). Weil indessen aufgrund der Akten nach wie vor von der prozessualen Bedürftigkeit der Beschwerdeführerin auszugehen und die Beschwerde aufgrund der vorstehenden Erwägungen nicht als aussichtslos zu bezeichnen ist, ist der Antrag auf Gewährung der unentgeltlichen Rechtspflege (Art. 65 Abs. 1 VwVG) gutzuheissen und die Beschwerdeführerin ist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