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E-4513/2013 vom 25. April 2014</w:t>
      </w:r>
    </w:p>
    <w:p>
      <w:r>
        <w:t>Bundesverwaltungsgericht, 2014-04-25, DE</w:t>
      </w:r>
    </w:p>
    <w:p>
      <w:r>
        <w:rPr>
          <w:b/>
        </w:rPr>
        <w:t xml:space="preserve">Quelle: </w:t>
      </w:r>
      <w:r>
        <w:t>https://mcp.opencaselaw.ch/entscheid/bvger_E-4513_2013</w:t>
      </w:r>
    </w:p>
    <w:p>
      <w:r>
        <w:t>FR: TAF E-4513/2013 du 25 avril 2014</w:t>
      </w:r>
    </w:p>
    <w:p>
      <w:r>
        <w:t>IT: TAF E-4513/2013 del 25 aprile 2014</w:t>
      </w:r>
    </w:p>
    <w:p>
      <w:pPr>
        <w:pStyle w:val="Heading2"/>
      </w:pPr>
      <w:r>
        <w:t>Regeste</w:t>
      </w:r>
    </w:p>
    <w:p>
      <w:r>
        <w:t>Asylgesuch aus dem Ausland und Einreisebewilligung</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Asylgesetz [AsylG, SR 142.31]; Art. 83 Bst. d Ziff. 1 Bundesgerichtsgesetz [BGG, SR 173.110]).</w:t>
      </w:r>
    </w:p>
    <w:p>
      <w:r>
        <w:rPr>
          <w:b/>
        </w:rPr>
        <w:t>E. 1.2</w:t>
      </w:r>
    </w:p>
    <w:p>
      <w:r>
        <w:t>Das Verfahren richtet sich nach dem VwVG, soweit das VGG oder das AsylG nichts anderes bestimmen (Art. 37 VGG; Art. 6 und 105 AsylG).</w:t>
      </w:r>
    </w:p>
    <w:p>
      <w:r>
        <w:rPr>
          <w:b/>
        </w:rPr>
        <w:t>E. 1.3</w:t>
      </w:r>
    </w:p>
    <w:p>
      <w:r>
        <w:t>Der Beschwerdeführer ist legitimiert (Art. 48 Abs. 1 VwVG) und er hat seine Beschwerde gemäss Aktenlage fristgerecht eingereicht (Art. 108 Abs. 1 AsylG i.V.m. Art. 21 Abs. 1 VwVG). Zwar hat er seine Beschwerde nicht in einer der Amtssprachen des Bundes verfasst, seiner englischsprachigen Eingabe lassen sich jedoch ohne weiteres Begehren und eine Begründung entnehmen (Art. 52 Abs. 1 VwVG), weshalb auf eine Rückweisung der Eingabe zwecks Übersetzung aus prozessökonomischen Gründen zu verzichten ist. Auf die Beschwerde ist nach dem Gesagten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Der Beschwerdeentscheid ist summarisch zu begründen (Art. 111a Abs. 1 und 2 AsylG).</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Asylverfahren anzuwenden.</w:t>
      </w:r>
    </w:p>
    <w:p>
      <w:r>
        <w:rPr>
          <w:b/>
        </w:rPr>
        <w:t>E. 3</w:t>
      </w:r>
    </w:p>
    <w:p>
      <w:r>
        <w:t>Ein Asylgesuch kann gemäss aArt. 19 AsylG im Ausland bei einer schweizerischen Vertretung gestellt werden, die es mit einem Bericht an das Bundesamt überweist (aArt. 20 Abs. 1 AsylG).</w:t>
      </w:r>
    </w:p>
    <w:p>
      <w:r>
        <w:rPr>
          <w:b/>
        </w:rPr>
        <w:t>E. 4.1</w:t>
      </w:r>
    </w:p>
    <w:p>
      <w:r>
        <w:t>Das BFM kann ein im Ausland gestelltes Asylgesuch ablehnen, wenn die asylsuchende Person keine Verfolgung glaubhaft machen kann oder ihr die Aufnahme in einem Drittstaat zugemutet werden kann (vgl. Art. 3, Art. 7 und aArt. 52 Abs. 2 AsylG).</w:t>
      </w:r>
    </w:p>
    <w:p>
      <w:r>
        <w:rPr>
          <w:b/>
        </w:rPr>
        <w:t>E. 4.2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Aus den nachfolgenden Gründen ist die Einschätzung des BFM in der angefochtenen Verfügung und in der Vernehmlassung, wonach sich aus den wesentlichen Vorbringen des Beschwerdeführers keine aktuelle asylrelevante Gefährdungssituation des Beschwerdeführers ergebe, zu be­stätigen.</w:t>
      </w:r>
    </w:p>
    <w:p>
      <w:r>
        <w:rPr>
          <w:b/>
        </w:rPr>
        <w:t>E. 4.4</w:t>
      </w:r>
    </w:p>
    <w:p>
      <w:r>
        <w:t>Es ist mit der Vorinstanz darin einig zu gehen, dass die im Rahmen des erstinstanzlichen Verfahrens geltend gemachten Ereignisse mehrere Jahre zurücklagen. Aktuellere ernsthafte und auf seine Person bezogene Bedrohungssituationen machte der Beschwerdeführer im erstinstanzlichen Verfahren nicht geltend. Auch führte das BFM in seiner Verfügung zu Recht aus, dass sich der Beschwerdeführer seit dem 26. Mai 2009 bis zum Ergehen der angefochtenen Verfügung des BFM nicht mehr bei der Botschaft gemeldet hatte, was als Indiz dafür gelte, dass er zu diesem Zeitpunkt nicht gefährdet gewesen sei. Auf Beschwerdeebene machte der Beschwerdeführer zusätzlich geltend, am 1. Juli 2013 vom Criminal Investigation Departement (CID) befragt worden zu sein. Das BFM hat in seiner Vernehmlassung vom 28. Januar 2014 zu Recht darauf entgegnet, der Umstand, dass der Beschwerdeführer nach dieser Befragung wieder freigelassen und nicht in Haft genommen worden sei, lasse darauf schliessen, dass die heimatlichen Behörden kein ernsthaftes Verfolgungsinteresse an seiner Person hätten. Das BFM hat in seiner Vernehmlassung zudem weiter zutreffend erwogen, der Beschwerdeführer habe seit dem 12. August 2013 keine weiteren Eingaben zu den Akten gereicht, die Rückschlüsse auf eine akute Bedrohungssituation zulassen würden. In Berücksichtigung der gesamten Aktenlage gibt es offenkundig keine konkreten Anhaltspunkte für eine begründete Furcht vor künftiger Verfolgung seitens der srilankischen Behörden. Aufgrund der Aktenlage weist der Beschwerdeführer in keiner Hinsicht ein Profil auf, das ihn aus Sicht der srilankischen Behörden aktuell als staatsgefährdende Person verdächtig machen würde. In diesem Zusammenhang ist im Weiteren auf die veränderte allgemeine Situation in Sri Lanka hinzuweisen. Nach Beendigung des Krieges und der endgültigen Niederlage der Liberation Tigers of Tamil Eelam (LTTE) ist die Gefahr für den Beschwerdeführer, der Zugehörigkeit zu dieser verdächtigt zu werden, aufgrund der Aktenlage nicht gegeben. Zwar haben die srilankischen Behörden die Sicherheitsmassnahmen generell nicht gelockert. Daher besteht die Möglichkeit, vom srilankischen Sicherheitspersonal eingehender Personenkontrollen unterzogen und für sicherheitsspezifischer Abklärungen auf den Posten mitgenommen zu werden. Diese sogenannten "Anti-Terrormassnahmen" werden im Raum Colombo - unbesehen der Rügen des Supreme Courts - als repressives Instrument gegen befürchtete Infiltrationen tamilischer Separatisten angewandt. Solchen Massnahmen muss sich der Beschwerdeführer jedoch aufgrund seines unpolitischen Profils nicht mit ernsthaften Folgen ausgesetzt sehen. Im Weiteren ist von der Schutzfähigkeit des srilankischen Staates auszugehen, weshalb die Möglichkeit besteht, bei den zuständigen Behörden um Schutz vor Behelligungen seitens Dritter zu ersuchen. Vorliegend ergeben sich keine Anhaltspunkte, die gegen eine Schutzwilligkeit des srilankischen Staates gegenüber dem Beschwerdeführer sprechen würden. 5.Somit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Im Übrigen ist auch eine Beziehungsnähe des Beschwerdeführers zur Schweiz zu verneinen (aArt. 52 Abs. 2 AsylG). Das BFM hat dem Beschwerdeführer zu Recht die Einreise in die Schweiz nicht bewilligt und das Asylgesuch abgelehnt. 6.Aus diesen Erwägungen ergibt sich, dass die angefochtene Verfügung Bundesrecht nicht verletzt und den rechtserheblichen Sachverhalt richtig und vollständig feststellt (Art. 106 Abs. 1 AsylG).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