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E-4504/2011 vom 26. November 2013</w:t>
      </w:r>
    </w:p>
    <w:p>
      <w:r>
        <w:t>Bundesverwaltungsgericht, 2013-11-26, FR</w:t>
      </w:r>
    </w:p>
    <w:p>
      <w:r>
        <w:rPr>
          <w:b/>
        </w:rPr>
        <w:t xml:space="preserve">Quelle: </w:t>
      </w:r>
      <w:r>
        <w:t>https://mcp.opencaselaw.ch/entscheid/bvger_E-4504_2011</w:t>
      </w:r>
    </w:p>
    <w:p>
      <w:r>
        <w:t>FR: TAF E-4504/2011 du 26 novembre 2013</w:t>
      </w:r>
    </w:p>
    <w:p>
      <w:r>
        <w:t>IT: TAF E-4504/2011 del 26 novembre 2013</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L'intéressée a qualité pour recourir (art. 48 al. 1 PA). Présenté dans la forme (art. 52 PA) et le délai (art. 108 al. 2 LAsi) prescrits par la loi, le recours est recevable.</w:t>
      </w:r>
    </w:p>
    <w:p>
      <w:r>
        <w:rPr>
          <w:b/>
        </w:rPr>
        <w:t>E. 2.1</w:t>
      </w:r>
    </w:p>
    <w:p>
      <w:r>
        <w:t>Dans la mesure où l'ODM a rendu une décision de non-entrée en matière sur la demande d'asile de la recourante, l'objet du recours ne peut porter que sur le bien-fondé de cette décision (cf. ATAF 2010/5 consid. 2 ; ATAF 2007/8 consid. 5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spéc. p. 439 ch. 8).</w:t>
      </w:r>
    </w:p>
    <w:p>
      <w:r>
        <w:rPr>
          <w:b/>
        </w:rPr>
        <w:t>E. 2.2</w:t>
      </w:r>
    </w:p>
    <w:p>
      <w:r>
        <w:t>L'examen de la demande d'asile ne doit ainsi pas être confondu avec la procédure de détermination de l'Etat contractant de l'espace Dublin responsable (ci-après : l'Etat membre). Le règlement Dublin II entend en effet lutter contre la multiplication des demandes d'asile en Europe et il s'agit donc, une fois les conditions d'application du règlement Dublin II réunies, de laisser les questions relatives au droit d'asile ou à une autre forme de protection à la compétence des seules juridictions de l'Etat membre responsable.</w:t>
      </w:r>
    </w:p>
    <w:p>
      <w:r>
        <w:rPr>
          <w:b/>
        </w:rPr>
        <w:t>E. 3.1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al.1 OA 1] ; Mathias Hermann, Das Dublin System, Zurich 2008, p. 193 ss).</w:t>
      </w:r>
    </w:p>
    <w:p>
      <w:r>
        <w:rPr>
          <w:b/>
        </w:rPr>
        <w:t>E. 3.2</w:t>
      </w:r>
    </w:p>
    <w:p>
      <w:r>
        <w:t>Aux termes de l'art. 3 par. 1 du règlement Dublin II, une demande d'asile est examinée par un seul Etat contractant, celui-ci étant déterminé à l'aide des critères fixés par son chapitre III dans l'ordre énoncé par ce chapitre (cf. art. 5 par. 1 du règlement Dublin II). Par suite, un Etat membre auprès duquel une demande d'asile a été introduite et qui estime qu'un autre Etat membre est responsable de l'examen de cette demande peut requérir ce dernier aux fins de (re)prise en charge dans les plus brefs délais (cf. art. 17 et 20 du règlement Dublin II). Cette détermination fait intervenir prioritairement, en vertu des art. 6 à 8 du règlement Dublin II, l'Etat où résident déjà légalement ou en qualité de réfugié des membres de la famille du demandeur, puis, successivement et selon les art. 9 à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 Dublin II).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3.3</w:t>
      </w:r>
    </w:p>
    <w:p>
      <w:r>
        <w:t>Enfin, l'application de ces critères est écartée en cas de mise en oeuvre de la clause de souveraineté énoncée à l'art. 3 par. 2 du règlement Dublin II (cf. art. 29a al. 3 OA 1). Aux termes de cette disposition, par dérogation au paragraphe 1, chaque Etat membre peut examiner une demande d'asile qui lui est présentée par un ressortissant d'un pays tiers, même si cet examen ne lui incombe pas en vertu des critères fixés dans le présent règlement. Cette disposition, appelée « clause de souveraineté » consacre le droit pour les Etats membres de renoncer au transfert en fonction des obligations de leur droit interne et du droit international public auquel ils sont liés. Elle ne comporte pas les critères matériels de renonciation à un transfert, mais seulement une autorisation aux Etats membres de l'espace Dublin de renoncer à un transfert, lorsque des droits tirés de la CEDH ou d'autres accords internationaux (directement applicables ou « self-executing ») sont violés ou lorsque le droit objectif interne est violé. Par définition, une telle autorisation ne donne aux particuliers aucun droit ni aucune obligation. Elle permet simplement aux autorités suisses d'éviter d'être confrontées, dans certains cas, au conflit entre l'application des critères du règlement Dublin II, laquelle conduirait à un transfert, et l'application d'une autre norme de droit international ou de droit interne qui conduirait à la renonciation à une telle mesure. L'art. 3 par. 2 du règlement Dublin II n'est donc, en tant que tel, pas directement applicable. Cette interprétation n'empêche pas les particuliers de se prévaloir d'une violation du droit international, en particulier de l'art. 3 CEDH, ou encore d'une violation du droit interne en tant que celui-ci admet l'existence de raisons humanitaires dépassant, dans leur champ d'application, les conditions strictes d'illicéité d'un transfert. Ainsi, un requérant d'asile ne peut se prévaloir de cette clause de souveraineté qu'en combinaison avec une autre norme de droit fédéral (ATAF 2010/45 consid. 5).</w:t>
      </w:r>
    </w:p>
    <w:p>
      <w:r>
        <w:rPr>
          <w:b/>
        </w:rPr>
        <w:t>E. 4.1</w:t>
      </w:r>
    </w:p>
    <w:p>
      <w:r>
        <w:t>En l'espèce, Il ressort du dossier que la recourante a obtenu la protection subsidiaire en Italie, valable jusqu'au (...). En effet, la conservation de ses empreintes digitales dans le système Eurodac confirme qu'elle n'a obtenu qu'une protection provisoire dans cet Etat et non l'asile, ainsi qu'elle l'a prétendu dans un premier temps. Etant présumé que l'Italie respecte et applique correctement le règlement (CE) no 2725/2000 du Conseil du 11 décembre 2000 concernant la création du système "Eurodac" pour la comparaison des empreintes digitales aux fins de l'application efficace de la convention de Dublin (JO L 316/1 du 15.12.2000) et la recourante n'ayant pas renversé cette présomption, le Tribunal estime que c'est à juste titre que l'ODM a fait application de l'art. 34 al. 2 let. d LAsi (cf. ATAF 2010/56 consid. 2.2). Ainsi, il ressort du dossier que la recourante a présenté une demande d'asile en Italie. Il n'est pas contesté que cet Etat est responsable de l'examen de sa demande. Les autorités italiennes ont d'ailleurs tacitement admis leur compétence en ne répondant pas à la demande de reprise en charge adressée par l'ODM.</w:t>
      </w:r>
    </w:p>
    <w:p>
      <w:r>
        <w:rPr>
          <w:b/>
        </w:rPr>
        <w:t>E. 4.2</w:t>
      </w:r>
    </w:p>
    <w:p>
      <w:r>
        <w:t>En l'occurrence, la recourante a affirmé que, malgré l'obtention de la protection subsidiaire en Italie, elle y avait été laissée dans un dénuement complet, avait dû dormir dans des lieux publics à même le sol, y compris en hiver et alors qu'elle était enceinte, et ce jusqu'à une date proche de son accouchement. Elle a déclaré avoir reçu de la nourriture de la part de différentes églises, mais n'avoir bénéficié que d'un repas par jour, à cause de l'éloignement géographique du lieu de distribution des vivres. Elle a ajouté n'avoir eu accès qu'à des toilettes publiques et ne pas avoir pu se doucher durant environ sept mois. De plus, elle a affirmé ne pas avoir eu la possibilité de s'adresser aux autorités italiennes pour que sa grossesse soit suivie et prise en charge. Ainsi, elle a fait valoir qu'à titre dérogatoire, la Suisse devrait examiner sa demande d'asile en application de la «clause de souveraineté», prévue à l'art. 3 par. 2 1ère phr. du règlement Dublin II, même si cet examen ne lui incombait pas en vertu desdits critères.</w:t>
      </w:r>
    </w:p>
    <w:p>
      <w:r>
        <w:rPr>
          <w:b/>
        </w:rPr>
        <w:t>E. 4.3</w:t>
      </w:r>
    </w:p>
    <w:p>
      <w:r>
        <w:t>Il convient donc d'examiner si l'ODM aurait dû appliquer la clause de souveraineté conformément à l'art. 3 par. 2 du règlement Dublin II (ATAF 2010/45 consid. 8.2.3), en raison, soit d'un risque de violation du principe de non-refoulement par l'Italie (cf. consid. 5 du présent arrêt), soit des problèmes de santé et de la situation personnelle de la recourante (cf. consid. 6 du présent arrêt).</w:t>
      </w:r>
    </w:p>
    <w:p>
      <w:r>
        <w:rPr>
          <w:b/>
        </w:rPr>
        <w:t>E. 5.1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CEDH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p. 530, ATAF 2011/35 consid. 4.11 p. 796, ATAF 2010/27 consid. 6.4.6.2 p. 383 s.).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au sens large du terme (cf. considérant n° 2 du préambule du règlement Dublin II). La présomption de respect, par l'Etat de destination, des conventions pertinentes (ci-après: présomption de sécurité) a pour conséquence que l'autorité peut, en principe, s'abstenir d'une vérification approfondie et individualisée des risques encourus par le demandeur dans l'Etat responsable (cf. Francesco Maiani/Constantin Hruschka, Le partage des responsabilités dans l'espace Dublin, entre confiance mutuelle et sécurité des demandeurs d'asile, in Asyl 2/2011 p. 12 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en partic. consid. 7.4.2 p. 637).</w:t>
      </w:r>
    </w:p>
    <w:p>
      <w:r>
        <w:rPr>
          <w:b/>
        </w:rPr>
        <w:t>E. 5.2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p. 638). En présence de tels indices, il n'est plus possible de s'abstenir, en excipant de la présomption de sécurité, d'une vérification approfondie et individualisée des risques encourus par le requérant en cas de transfert (cf. Maiani/Hruschka, op. cit., p. 14).</w:t>
      </w:r>
    </w:p>
    <w:p>
      <w:r>
        <w:rPr>
          <w:b/>
        </w:rPr>
        <w:t>E. 5.3</w:t>
      </w:r>
    </w:p>
    <w:p>
      <w:r>
        <w:t>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l'existence de problèmes systémiques dans un Etat membre, l'autorité ne peut plus se retrancher derrière cette présomption pour s'abstenir de vérifier de manière approfondie et individualisée, si le transfert entraîne un risque sérieux et concret de non-respect des droits fondamentaux de l'intéressé (cf. ATAF 2011/35 consid. 4.11 p. 796 s., ATAF 2010/45 consid. 7.4 et 7.5 p. 637 ss ; voir aussi arrêt de la Cour européenne des droits de l'Homme [Cour eur. DH] du 21 janvier 2011, M.S.S. c. Belgique et Grèce, requête no 30696/09, §§ 341 ss, et arrêt du 7 juin 2011, Affaire R.U. c. Grèce, requête no 2237/08, §§ 74 ss ; cf. aussi Cour de justice de l'Union européenne [ci-après, CJUE], arrêt du 21 décembre 2011 dans les affaires C-411/10 et C-493/10).</w:t>
      </w:r>
    </w:p>
    <w:p>
      <w:r>
        <w:rPr>
          <w:b/>
        </w:rPr>
        <w:t>E. 5.4</w:t>
      </w:r>
    </w:p>
    <w:p>
      <w:r>
        <w:t>Vu la présomption de sécurité, que la recourante n'a pas été en mesure de renverser par un faisceau d'indices concrets et sérieux, son transfert en Italie avec son enfant s'avère licite.</w:t>
      </w:r>
    </w:p>
    <w:p>
      <w:r>
        <w:rPr>
          <w:b/>
        </w:rPr>
        <w:t>E. 6.1</w:t>
      </w:r>
    </w:p>
    <w:p>
      <w:r>
        <w:t>Il s'agit encore de vérifier s'il existe un empêchement au transfert de la recourante en Italie au sens de l'art. 29a al. 3 OA 1, selon lequel l'ODM peut, pour des raisons humanitaires, également traiter la demande lorsqu'il ressort de l'examen qu'un autre Etat est compétent. En effet, la recourante a invoqué que son état de santé et sa situation personnelle s'opposaient à son transfert en Italie (ATAF 2010/45 consid. 8.2.3).</w:t>
      </w:r>
    </w:p>
    <w:p>
      <w:r>
        <w:rPr>
          <w:b/>
        </w:rPr>
        <w:t>E. 6.2</w:t>
      </w:r>
    </w:p>
    <w:p>
      <w:r>
        <w:t>Les Etats membres de l'espace Dublin sont présumés disposer de conditions d'accessibilité à des soins de médecine générale ou urgents nécessaires à la garantie de la dignité humaine, au moins pour le temps que durera la procédure d'asile. Dans ces conditions, la nécessité, avérée dans un cas particulier, de tels soins ne constitue pas en soi un motif suffisant pour appliquer l'art. 29a al. 3 OA 1 et ainsi faire usage de la clause de souveraineté de l'art. 3 par. 2 1ère phr. du règlement Dublin II. Il convient au contraire de s'en tenir à une pratique restrictive (cf. ATAF 2010/45 consid. 8.2.2 p. 643 ; cf. aussi ATAF 2011/9 consid. 8.1 et 8.2, et arrêt du Tribunal E-3301/2010 du 25 octobre 2010 consid. 3.1.6). Pour retenir l'existence de raisons humanitaires, il faut procéder à une appréciation d'ensemble des éléments du cas d'espèce, où peuvent, en particulier,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ATAF 2011/9 consid. 7.3, 7.4 et 8 ; voir également arrêt du Tribunal E-3508/2011 du 20 juillet 2011 consid. 6.2 et 6.3).</w:t>
      </w:r>
    </w:p>
    <w:p>
      <w:r>
        <w:rPr>
          <w:b/>
        </w:rPr>
        <w:t>E. 6.3</w:t>
      </w:r>
    </w:p>
    <w:p>
      <w:r>
        <w:t>En l'espèce, la recourante a été prise en charge par L._______ dès le 14 mars 2013 en raison de troubles du sommeil (notamment des reviviscences traumatiques), de forts maux de tête, de troubles de la vigilance et de l'alimentation, ainisi que d'angoisse envahissante. Lors des entretiens, la spécialiste a noté une thymie très déprimée et une grande détresse chez sa patiente et a diagnostiqué un état de stress post-traumatique, ainsi qu'un trouble dépressif récurrent avec un épisode actuel moyen. L'état de la recourante est jugé stationnaire et requiert des entretiens psychothérapeutiques réguliers. En l'absence de traitement, le médecin prévoit une grave péjoration de l'humeur et des symptômes, avec un risque auto-agressif. Sur le plan physique, suite à son accident du (...), la recourante boite en raison d'une contusion de la hanche et souffre d'une légère limitation fonctionnelle de l'épaule, non invalidante au quotidien. Dans son rapport du 17 mai 2013, le médecin a diagnostiqué un "syndrome douloureux résiduel" et a prescrit à sa patiente un antidouleur par voie orale, celle-ci refusant les infiltrations. Le Tribunal constate que la recourante séjourne depuis plus de deux ans en Suisse, où elle a mis au monde un enfant en (...). Par ailleurs, elle est enceinte et s'apprête à accoucher, le terme étant prévu pour le (...). Il s'est créé un lien de confiance avec les personnes responsables de son traitement médical et le maintien du traitement psychothérapeutique instauré revêt une certaine importance. Un transfert en Italie, où la recourante a vécu seulement quelques mois (un semestre en 2008 et environ sept mois, de novembre 2010 à juin 2011), séjour interrompu lors de son passage aux Pays-Bas, représenterait pour elle une nouvelle épreuve, en l'espèce disproportionnée (cf. ATAF 2010/45 consid. 8.3 ; communiqué de l'Organisation suisse d'aide aux réfugiés [OSAR], Italie: Conditions d'accueil, Berne, octobre 2013 p. 3). Ensuite, en cas de transfert et à l'instar d'autres personnes transférées en vertu du règlement Dublin II, il ne peut pas être exclu que la recourante soit livrée à elle-même, dans des conditions inadaptées aux soins que nécessite son état de santé (cf. communiqué de presse de l'OSAR, Renvois intenables vers l'Italie, de retour de l'Enfer de Dante, Berne, 10 octobre 2013). De plus, la recourante a un enfant en bas âge et s'apprête à donner naissance à un autre enfant en (...) prochain, nécessitant des soins adaptés.</w:t>
      </w:r>
    </w:p>
    <w:p>
      <w:r>
        <w:rPr>
          <w:b/>
        </w:rPr>
        <w:t>E. 6.4</w:t>
      </w:r>
    </w:p>
    <w:p>
      <w:r>
        <w:t>A l'égard de l'écoulement du temps enfin, le Tribunal relève que la recourante a quitté son pays d'origine en janvier 2008 et qu'elle a déposé une demande d'asile en Italie en début (...) de la même année, avant de déposer une demande d'asile aux Pays-Bas, le (...) et d'être reconduite en Italie en novembre 2010, où elle a séjourné jusqu'au 19 juin 2011. Le 20 juin 2011, elle a demandé l'asile en Suisse. La période passée en Suisse par la recourante de plus de deux ans est notablement plus étendue que celle durant laquelle elle est restée en Italie, soit environ 13 mois au total, interrompue par un séjour aux Pays-Bas. Dans ces conditions, il y a lieu de tenir compte du principe de célérité de la procédure d'asile consacré aussi bien par le considérant n° 4 du préambule du règlement Dublin II que de l'art. 29 al. 1 de la Constitution fédérale de la Confédération du 18 avril 1999 (RS 101; Cst.), et du principe de proportionnalité pour trancher de la présente espèce sur l'existence ou non de raisons humanitaires.</w:t>
      </w:r>
    </w:p>
    <w:p>
      <w:r>
        <w:rPr>
          <w:b/>
        </w:rPr>
        <w:t>E. 6.5</w:t>
      </w:r>
    </w:p>
    <w:p>
      <w:r>
        <w:t>Partant, en application du principe de proportionnalité, le Tribunal retient qu'il y a lieu d'admettre la compétence de la Suisse pour examiner la demande d'asile de la recourante pour des raisons humanitaires au sens de l'art. 29a al. 3 OA 1 en relation avec l'art. 3 par. 2 1ère phr. du règlement Dublin II.</w:t>
      </w:r>
    </w:p>
    <w:p>
      <w:r>
        <w:rPr>
          <w:b/>
        </w:rPr>
        <w:t>E. 6.6</w:t>
      </w:r>
    </w:p>
    <w:p>
      <w:r>
        <w:t>Au vu de ce qui précède, la requête de la recourante du 18 mars 2013 tendant à l'inclusion de ses deux enfants mineurs séjournant actuellement au Kenya dans sa demande d'asile et à l'autorisation d'entrer en Suisse est renvoyée à l'ODM, afin qu'il statue (cf. art. 8 al. 1 PA).</w:t>
      </w:r>
    </w:p>
    <w:p>
      <w:r>
        <w:rPr>
          <w:b/>
        </w:rPr>
        <w:t>E. 7</w:t>
      </w:r>
    </w:p>
    <w:p>
      <w:r>
        <w:t>Le recours est dès lors admis et l'ODM est invité à ouvrir une procédure nationale d'asile. L'office veillera à informer les autorités italiennes de l'issue de la présente procédure.</w:t>
      </w:r>
    </w:p>
    <w:p>
      <w:r>
        <w:rPr>
          <w:b/>
        </w:rPr>
        <w:t>E. 8</w:t>
      </w:r>
    </w:p>
    <w:p>
      <w:r>
        <w:t>Au vu de l'issue de la cause, il est statué sans frais (art. 63 al. 2 et 3 PA). La requête d'assistance judiciaire partielle est dès lors sans objet. Sur la base des deux décomptes d'honoraires produits par la mandataire, l'ODM versera à la recourante une indemnité de 1'880 francs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