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E-4487/2015 vom 12. Oktober 2015</w:t>
      </w:r>
    </w:p>
    <w:p>
      <w:r>
        <w:t>Bundesverwaltungsgericht, 2015-10-12, DE</w:t>
      </w:r>
    </w:p>
    <w:p>
      <w:r>
        <w:rPr>
          <w:b/>
        </w:rPr>
        <w:t xml:space="preserve">Quelle: </w:t>
      </w:r>
      <w:r>
        <w:t>https://mcp.opencaselaw.ch/entscheid/bvger_E-4487_2015</w:t>
      </w:r>
    </w:p>
    <w:p>
      <w:r>
        <w:t>FR: TAF E-4487/2015 du 12 octobre 2015</w:t>
      </w:r>
    </w:p>
    <w:p>
      <w:r>
        <w:t>IT: TAF E-4487/2015 del 12 ottobre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mithin einzutreten.</w:t>
      </w:r>
    </w:p>
    <w:p>
      <w:r>
        <w:rPr>
          <w:b/>
        </w:rPr>
        <w:t>E. 1.4</w:t>
      </w:r>
    </w:p>
    <w:p>
      <w:r>
        <w:t>Das Kind B._______ ist ins Verfahren seiner Mutter einzubeziehen.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Aufnahme oder Wiederaufnahme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3.3</w:t>
      </w:r>
    </w:p>
    <w:p>
      <w:r>
        <w:t>Der nach der Dublin-III-VO zuständige Mitgliedstaat ist verpflichtet, eine gesuchstellende Person, die in einem anderen Mitgliedstaat einen Antrag gestellt hat, nach Massgabe der Art. 21, 22 und 29 Dublin-III-VO aufzunehmen (Art. 18 Abs. 1 Bst. a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Wird festgestellt, dass eine antragstellende Person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4.2</w:t>
      </w:r>
    </w:p>
    <w:p>
      <w:r>
        <w:t>Den Akten ist zu entnehmen, dass die Beschwerdeführerin sich vor ihrer Einreise in die Schweiz in Italien aufgehalten hat. Anlässlich ihrer Befragung führte sie aus, sie sei über Äthiopien und den Sudan nach Libyen eingereist, von wo aus sie sich am 14. April 2015 auf einem Boot in Richtung Italien begeben habe. Dabei sei sie von den italienischen Behörden auf hoher See aufgegriffen und nach Sizilien gebracht worden. Dort sei sie fotografiert worden und es seien ihre Personalien aufgenommen worden. Danach sei sie über Mailand in die Schweiz weitergereist. Die Vorinstanz ersuchte die italienischen Behörden am 7. Mai 2015 gestützt auf Art. 13 Abs. 1 Dublin-III-VO um Aufnahme der Beschwerdeführerin. Die italienischen Behörden liessen das Übernahmeersuchen innert der in Art. 22 Abs. 1 Dublin-III-VO vorgesehenen Frist unbeantwortet, womit sie die Zuständigkeit Italiens implizit anerkannten (vgl. Art. 22 Abs. 7 Dublin-III-VO).</w:t>
      </w:r>
    </w:p>
    <w:p>
      <w:r>
        <w:rPr>
          <w:b/>
        </w:rPr>
        <w:t>E. 4.3</w:t>
      </w:r>
    </w:p>
    <w:p>
      <w:r>
        <w:t>Mithin ist die grundsätzliche Zuständigkeit Italiens gegeben. Daran ändert auch nichts, dass die Beschwerdeführerin in Italien weder ein Asylgesuch eingereicht haben, noch daktyloskopiert worden sein will (vgl. Art. 13 Abs. 1 Dublin-III-VO).</w:t>
      </w:r>
    </w:p>
    <w:p>
      <w:r>
        <w:rPr>
          <w:b/>
        </w:rPr>
        <w:t>E. 5.1</w:t>
      </w:r>
    </w:p>
    <w:p>
      <w:r>
        <w:t>Die Beschwerdeführerin lässt in ihrer Rechtsmitteleingabe vortragen, dass das SEM sein Ermessen im Rahmen der Souveränitätsklausel aus humanitären Gründen gemäss Art. 17 Abs. 1 Dublin-III-VO nicht gesetzeskonform ausgeübt habe. So habe es in seiner Verfügung lediglich in pauschaler Weise behauptet, in Würdigung der Aktenlage lägen keine Gründe für einen Selbsteintritt der Schweiz vor, anstatt im Einzelfall darzulegen, weshalb es von einem solchen Selbsteintritt nicht Gebrauch machen wolle.</w:t>
      </w:r>
    </w:p>
    <w:p>
      <w:r>
        <w:rPr>
          <w:b/>
        </w:rPr>
        <w:t>E. 5.2</w:t>
      </w:r>
    </w:p>
    <w:p>
      <w:r>
        <w:t>Art. 17 Abs. 1 Dublin-III-VO wird im schweizerischen Recht durch Art. 29a Abs. 3 AsylV 1 umgesetzt und konkretisiert. Wie das Bundesverwaltungsgericht im zur Publikation vorgesehenen Urteil E-641/2014 vom 13. März 2015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 infolge der Aufhebung von Art. 106 Abs. 1 Bst. c AsylG muss dieses den genannten Ermessenspielraum der Vorinstanz respektieren. Indes kann das Gericht nach wie vor überprüfen, ob das SEM sein Ermessen gesetzeskonform ausgeübt hat. Dies ist nur dann der Fall, wenn das SEM - bei von der gesuchstellenden Person geltend gemachten Umständen, die eine Überstellung aufgrund ihrer individuellen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Gründen sie auf einen Selbsteintritt aus humanitären Gründen verzichtet. Tut sie dies nicht, liegt eine Ermessensunterschreitung vor (vgl. Urteil des BVGer E-641/2014 vom 13. März 2015 E. 7 und 8 [zur Publikation vorgesehen]).</w:t>
      </w:r>
    </w:p>
    <w:p>
      <w:r>
        <w:rPr>
          <w:b/>
        </w:rPr>
        <w:t>E. 5.3</w:t>
      </w:r>
    </w:p>
    <w:p>
      <w:r>
        <w:t>Die Beschwerdeführerin machte bereits anlässlich ihrer Befragung geltend, in Libyen von einem Schlepper vergewaltigt worden und aus dieser Vergewaltigung schwanger geworden zu sein. Auf Beschwerdeebene wurde zu Recht darauf hingewiesen, dass die daraus möglicherweise resultierenden Schwierigkeiten bezüglich des Verhältnisses zwischen Mutter und Kind sowie allfällige psychische Probleme der Beschwerdeführerin gerade mit Blick auf die unter Druck stehenden Aufnahmestrukturen in Italien problematisch erscheinen. Angesichts dessen hätte das SEM prüfen müssen, ob es angezeigt ist, die Souveränitätsklausel aus humanitären Gründen auszuüben. Indem es die Frage des Selbsteintritts mit der textbausteinartigen, gehaltlosen Formulierung "in Würdigung der Aktenlage liegen keine Gründe vor, die einen Selbsteintritt der Schweiz rechtfertigten" verneinte, ist es dieser Pflicht zur Ermessensausübung nicht nachgekommen und hat mithin sein Ermessen unterschritten. Vielmehr hätte es, wie zuvor ausgeführt, in - anhand der angefochtenen Verfügung - nachvollziehbarer Weise detailliert prüfen müssen, ob es in Würdigung der konkreten Umstände tatsächlich angezeigt ist, auf einen Selbsteintritt zu verzichten.</w:t>
      </w:r>
    </w:p>
    <w:p>
      <w:r>
        <w:rPr>
          <w:b/>
        </w:rPr>
        <w:t>E. 5.4</w:t>
      </w:r>
    </w:p>
    <w:p>
      <w:r>
        <w:t>Da es sich bei der Ermessensunterschreitung um eine Rechtsverletzung handelt (vgl. BGE 132 V 393 E. 3.3), ist die angefochtene Verfügung bereits vor dem Hintergrund der vorangehenden Ausführungen aufzuheben und zur umfassenden Prüfung der Anwendung der Souveränitätsklausel aus humanitären Gründen - in Ausübung des gesetzeskonformen Ermessens - an die Vorinstanz zurückzuweisen.</w:t>
      </w:r>
    </w:p>
    <w:p>
      <w:r>
        <w:rPr>
          <w:b/>
        </w:rPr>
        <w:t>E. 6.1</w:t>
      </w:r>
    </w:p>
    <w:p>
      <w:r>
        <w:t>Sollte das SEM danach erneut zum Schluss gelangen, dass ein Selbsteintritt der Schweiz nicht gerechtfertigt ist, muss es angesichts der Geburt der Tochter der Beschwerdeführerin und der damit einhergehenden Tatsache, dass es sich bei Mutter und Kind um eine Familie im Sinne des Urteils Tarakhel gegen die Schweiz (vgl. a.a.O.) handelt, die in diesem Entscheid geforderten Garantien bezüglich einer kindgerechten Unterbringung respektive der Wahrung der Einheit der Familie in Italien einholen. So hat sich die Sachlage durch die Geburt von B._______ am (...) seit dem Ergehen der angefochtenen Verfügung vom 8. Juli 2015 relevant verändert, weshalb der diesem Entscheid zugrunde gelegte Sachverhalt aus heutiger Perspektive nicht mehr richtig und vollständig erstellt ist. Da es sich bei der vom EGMR verlangten individuellen Garantie seitens Italien nicht um eine blosse Überstellungsmodalität, sondern um eine materielle völkerrechtliche Zulässigkeitsvoraussetzung der Überstellung handelt, muss sie einer Überprüfung durch das Bundesverwaltungsgericht offenstehen und mithin bereits vor Erlass einer Überstellungsverfügung vorliegen (vgl. BVGE 2015/4 E. 4.3).</w:t>
      </w:r>
    </w:p>
    <w:p>
      <w:r>
        <w:rPr>
          <w:b/>
        </w:rPr>
        <w:t>E. 6.2</w:t>
      </w:r>
    </w:p>
    <w:p>
      <w:r>
        <w:t>Kommt das SEM also zum Schluss, ein Selbsteintritt aus humanitären Gründen sei nicht angezeigt, kommt es dennoch nicht darum herum, eine neue Verfügung zu erlassen, in welcher die vor deren Erlass eingeholten und vorliegenden Garantien seitens der italienischen Behörden betreffend eine kindgerechte Unterbringung und die Wahrung der Einheit der Familie Berücksichtigung finden müssen.</w:t>
      </w:r>
    </w:p>
    <w:p>
      <w:r>
        <w:rPr>
          <w:b/>
        </w:rPr>
        <w:t>E. 7</w:t>
      </w:r>
    </w:p>
    <w:p>
      <w:r>
        <w:t>Bei diesem Ausgang des Verfahrens sind keine Verfahrenskosten zu erheben (Art. 63 Abs. 1 und 2 VwVG). Der Beschwerdeführerin ist angesichts des Obsiegens im Beschwerdeverfahren in Anwendung von Art. 64 Abs. 1 VwVG eine Parteientschädigung für ihr erwachsene notwendige Vertretungskosten zuzusprechen (vgl. Art. 7 des Reglements vom 21. Februar 2008 über die Kosten und Entschädigungen vor dem Bundesverwaltungsgericht [VGKE, SR 173.320.2]). Seitens der Rechtsvertretung wurde keine Kostennote eingereicht. Auf Nachforderung einer solchen kann indes verzichtet werden, da der Aufwand für das vorliegende Beschwerdeverfahren zuverlässig abgeschätzt werden kann (Art. 14 Abs. 2 in fine VGKE). In Anwendung der genannten Bestimmung und unter Berücksichtigung der massgeblichen Bemessungsfaktoren (vgl. Art. 8 ff. VGKE) ist das SEM anzuweisen, der Beschwerdeführerin eine Parteientschädigung in Höhe von pauschal Fr. 800.- (inkl. Auslagen und Mehrwertsteuer)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