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E-4487/2006 vom 20. Januar 2010</w:t>
      </w:r>
    </w:p>
    <w:p>
      <w:r>
        <w:t>Bundesverwaltungsgericht, 2010-01-20, DE</w:t>
      </w:r>
    </w:p>
    <w:p>
      <w:r>
        <w:rPr>
          <w:b/>
        </w:rPr>
        <w:t xml:space="preserve">Quelle: </w:t>
      </w:r>
      <w:r>
        <w:t>https://mcp.opencaselaw.ch/entscheid/bvger_E-4487_2006</w:t>
      </w:r>
    </w:p>
    <w:p>
      <w:r>
        <w:t>FR: TAF E-4487/2006 du 20 janvier 2010</w:t>
      </w:r>
    </w:p>
    <w:p>
      <w:r>
        <w:t>IT: TAF E-4487/2006 del 20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Aus den Akten geht nicht mit Sicherheit hervor, ob die vorinstanzliche Vernehmlassung vom 31. August 2005 dem Beschwerdeführer zur Kenntnis gebracht worden ist; zur Ansetzung einer Frist zur replikweisen Stellungnahme bestand keine Veranlassung, da in der Vernehmlassung keine weiteren Erwägungen der Vorinstanz angeführt werden. Im Sinne der Verfahrenstransparenz ist eine Kopie der Vernehmlassung vom 31. August 2005 dem Beschwerdeführer zusammen mit dem vorliegenden Urteil zuzustellen.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führte zur Begründung seiner Verfügung aus, der Beschwerdeführer habe unterschiedliche Angaben dazu gemacht, wie er aus dem Gefängnis gekommen sei. Zudem seien seine Schilderungen zur Haftzeit pauschal und wenig detailliert ausgefallen und würden nicht die zu erwartenden Realkennzeichen aufweisen. Es sei realitätsfremd, dass er den Offizier, welcher ihm angeblich geholfen habe, nicht kenne und keine Angaben zu den Gründen für dessen Unterstützung machen könne, sowie dass er nicht sagen könne, wie der Entscheid, dass er das Land verlassen solle, gefällt worden sei und wer seine Ausreise bezahlt habe. Schliesslich seien die Aussagen des Beschwerdeführers zu den Umständen der Ausreise völlig unsubstanziiert ausgefallen. Aus diesen Gründen könne die von ihm vorgebrachte Verfolgungssituation nicht geglaubt werden. Im Weiteren hätten die angeblich im Jahre 2001 erlittenen Nachteile (Anschlag auf [Geschäft], Verweigerung der Immatrikulation an der Universität, Bestrafung wegen Alkoholkonsums) im Zeitpunkt der Ausreise bereits einige Jahre zurückgelegen und es fehle ein hinreichender zeitlicher und kausaler Zusammenhang mit der Ausreise. Diese Vorbringen seien daher nicht als asylrelevant zu erachten.</w:t>
      </w:r>
    </w:p>
    <w:p>
      <w:r>
        <w:rPr>
          <w:b/>
        </w:rPr>
        <w:t>E. 5.2.1</w:t>
      </w:r>
    </w:p>
    <w:p>
      <w:r>
        <w:t>Nach Prüfung der Aktenlage und der Vorbringen des Beschwerdeführers gelangt das Gericht in Übereinstimmung mit dem Bundesamt zum Schluss, dass die angebliche mehrmonatige Inhaftierung des Beschwerdeführers im Jahre 2003 als unglaubhaft zu erachten ist. Es erscheint nicht nachvollziehbar, dass der Beschwerdeführer für eine derart lange Zeitdauer festgehalten worden sein soll, ohne dass er verhört oder dass ein Verfahren eingeleitet worden wäre. Seine Ausführungen zu den Umständen der Haft erschöpfen sich in allgemeinen Schilderungen, welche nicht den Eindruck realer Erlebnisse vermitteln. Ferner muss als lebensfremd bezeichnet werden, dass ein Offizier des Gefängnisses, den der Beschwerdeführer erst im Moment seiner Freilassung kennengelernt haben will (vgl. A9 S.24) und der aus dem gleichen Dorf stamme, trotz des für diesen damit verbundenen Risikos, dazu bereit gewesen sein soll, ihn aus dem Gefängnis freizulassen, und ihm für die darauffolgende Zeit eine Unterkunft organisiert und die Ausreise in die Wege geleitet haben soll. In Anbetracht dieser Umstände muss auch die vom Beschwerdeführer bei der Kurzbefragung an der Empfangsstelle erwähnte und im Rahmen der kantonalen Anhörung angedeutete sexuelle Misshandlung während der Haftzeit als unglaubhaft bezeichnet werden, zumal er im Beschwerdeverfahren in keiner Weise auf dieses Element seiner Vorbringen Bezug genommen hat. Die Ausführungen in der Beschwerdeeingabe sind nicht geeignet, zu einer anderen Einschätzung zu führen. Insbesondere vermag der Umstand, dass er den Offizier, welcher ihm angeblich half, wie bereits während der kantonalen Anhörung (vgl. A9 S. 11) namentlich bezeichnete und als Grund für dessen Hilfsbereitschaft ausführte, dieser habe Sympathien für ihn gehegt, die zahlreichen und erheblichen geschilderten Unglaubhaftigkeitselemente nicht aufzuwiegen. In Anbetracht der offenkundigen Unglaubhaftigkeit dieser Vorbringen ist der Antrag des Beschwerdeführers auf Befragung des genannten Offiziers abzuweisen.</w:t>
      </w:r>
    </w:p>
    <w:p>
      <w:r>
        <w:rPr>
          <w:b/>
        </w:rPr>
        <w:t>E. 5.2.2</w:t>
      </w:r>
    </w:p>
    <w:p>
      <w:r>
        <w:t>Schliesslich sind auch die Schilderungen des Beschwerdeführers zu den Umständen seiner Ausreise, insbesondere dazu, wer den Entscheid zur Ausreise getroffen und wer für die entsprechenden Kosten aufgekommen sei, überaus vage und ausweichend ausgefallen, und er hat bisher keine rechtsgenüglichen Identitätsdokumente zum Beleg seiner Identität eingereicht. Dadurch ist seine persönliche Glaubwürdigkeit zusätzlich in Frage gestellt.</w:t>
      </w:r>
    </w:p>
    <w:p>
      <w:r>
        <w:rPr>
          <w:b/>
        </w:rPr>
        <w:t>E. 5.2.3</w:t>
      </w:r>
    </w:p>
    <w:p>
      <w:r>
        <w:t>Im Weiteren ist die Einschätzung der Vorinstanz, es bestehe kein hinreichend enger Kausalzusammenhang zwischen den vom Beschwerdeführer nach seinen Angaben im Jahre 2001 erlittenen Behelligungen und seiner Ausreise im Jahre 2003, zu bestätigen. Der Einwand in der Beschwerdeeingabe, eine Flucht sei vor dem Zeitpunkt der Ausreise nicht möglich gewesen, kann nicht gehört werden, lag nach seiner Darstellung doch zwischen den Ereignissen im Jahre 2001 und der Festnahme im April 2003 ein Zeitraum von rund 1½ Jahren, in welchen er keinen Übergriffen ausgesetzt war.</w:t>
      </w:r>
    </w:p>
    <w:p>
      <w:r>
        <w:rPr>
          <w:b/>
        </w:rPr>
        <w:t>E. 5.2.4</w:t>
      </w:r>
    </w:p>
    <w:p>
      <w:r>
        <w:t>Der Vollständigkeit halber ist festzustellen, dass es sich bei der DUP - wie auch der Beschwerdeführer selber zu Protokoll gegeben hat (vgl. A1 S. 5, A9 S. 13, 16) - heute um eine legale oppositionelle Partei handelt, welche in dem im Jahre 2005 in der Folge des sudanesischen Nord-Süd-Friedensabkommens ernannten Parlament vertreten ist (vgl. UK Home Office, Country of Origin Information Report, Sudan, 26. September 2008, Ziff. 3.08, 6.08). Es besteht somit kein Anlass, aufgrund des vom Beschwerdeführer vorgebrachten Engagements für diese Partei auf eine begründete Furcht vor Verfolgung zu schliessen.</w:t>
      </w:r>
    </w:p>
    <w:p>
      <w:r>
        <w:rPr>
          <w:b/>
        </w:rPr>
        <w:t>E. 5.3</w:t>
      </w:r>
    </w:p>
    <w:p>
      <w:r>
        <w:t>Zusammenfassend ist festzuhalten, dass es dem Beschwerdeführer nicht gelungen ist, eine asylrelevante Verfolgungsgefahr nachzuweisen oder glaubhaft darzutun. Es erübrigt sich, auf weitere Ausführungen in der Beschwerde einzugehen, da diese am Ergebnis nichts zu ändern vermögen. Somit hat die Vorinstanz zu Recht die Flüchtlingseigenschaft des Beschwerdeführers verneint und sein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Sudan lässt - mit Ausnahme der Region Darfur (vgl. EMARK 2006 Nr. 25 E. 8) -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Den Erkenntnissen des Bundesverwaltungsgerichts zufolge besteht im Sudan ausserhalb der Region Darfur keine Situation allgemeiner Gewalt. Es sind somit keine Hinweise dafür ersichtlich, dass der aus der Region Khartum stammende Beschwerdeführer bei einer Rückkehr in sein Heimatland in konkreter Weise gefährdet wäre. Zudem sind den Akten auch keine Anhaltspunkte für das Bestehen individueller Wegweisungshindernisse zu entnehmen. Trotz der relativ langen Aufenthaltsdauer des Beschwerdeführers in der Schweiz erachtet das Bundesverwaltungsgericht den Wegweisungsvollzug in den Sudan, wo er den grössten Teil seines Lebens verbracht hat, als zumutbar. Angesichts seiner überdurchschnittlichen Ausbildung und beruflichen Erfahrung ist davon auszugehen, dass es ihm gelingen wird, sich im Sudan eine eigene wirtschaftliche und soziale Existenz aufzubauen. Zudem verfügt er in seinem Heimatland über ein familiäres Beziehungsnetz, auf dessen Unterstützung er bei einer Rückkehr und Reintegration zählen kann, und es liegen keine Hinweise für das Bestehen gesundheitlicher Beschwerden vor. Nach dem Gesagten erweist sich Vollzug der Wegweisung auch als zumutbar.</w:t>
      </w:r>
    </w:p>
    <w:p>
      <w:r>
        <w:rPr>
          <w:b/>
        </w:rPr>
        <w:t>E. 7.6</w:t>
      </w:r>
    </w:p>
    <w:p>
      <w:r>
        <w:t>Die Prüfung eines schwerwiegenden persönlichen Härtefalls angesichts einer allfälligen fortgeschrittenen Integration des Beschwerdeführers würde gemäss Art. 14 Abs. 2 AsylG der zuständigen kantonalen Behörde, mit Zustimmung des BFM, obliegen; im vorliegenden Beschwerdeverfahren ist hingegen hierauf nicht Bezug zu nehmen.</w:t>
      </w:r>
    </w:p>
    <w:p>
      <w:r>
        <w:rPr>
          <w:b/>
        </w:rPr>
        <w:t>E. 7.7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