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E-4486/2013 vom 15. August 2013</w:t>
      </w:r>
    </w:p>
    <w:p>
      <w:r>
        <w:t>Bundesverwaltungsgericht, 2013-08-15, DE</w:t>
      </w:r>
    </w:p>
    <w:p>
      <w:r>
        <w:rPr>
          <w:b/>
        </w:rPr>
        <w:t xml:space="preserve">Quelle: </w:t>
      </w:r>
      <w:r>
        <w:t>https://mcp.opencaselaw.ch/entscheid/bvger_E-4486_2013</w:t>
      </w:r>
    </w:p>
    <w:p>
      <w:r>
        <w:t>FR: TAF E-4486/2013 du 15 août 2013</w:t>
      </w:r>
    </w:p>
    <w:p>
      <w:r>
        <w:t>IT: TAF E-4486/2013 del 15 agosto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Beschwerdeschrift hat unter anderem die Unterschrift des Beschwerdeführers oder seines Vertreters zu enthalten (Art. 52 Abs. 1 VwVG). Die vorliegende Beschwerde enthält zwar keine Unterschrift, aber in Anbetracht der Praxis der vormaligen Schweizerischen Asylrekurskommission (ARK), welche Eingaben auch ohne eigentliche Unterschrift als genügend akzeptierte, sofern diese nach den Umständen einem individuellen Beschwerdeführer klar zugeordnet werden konnten (vgl. Entscheidungen und Mitteilungen der Schweizerischen Asylrekurskommission [EMARK] 2003 Nr. 16), und angesichts des Umstands, dass vorliegend die Personalien des Beschwerdeführers sowie die Verfahrensnummer des BFM in der Eingabe aufgeführt sind und sich zudem auf dem ebenfalls eingereichten (an das BFM adressierten) Akteneinsichtsgesuch die Unterschrift des Beschwerdeführers und die identische Hand-schrift findet, rechtfertigt es sich, auf die Ansetzung einer Verbesserungsfrist zu verzichten. Da es sich um eine sogenannte Laienbeschwerde handelt, an die keine hohen formellen Anforderungen zu stellen sind, ist zugunsten des Beschwerdeführers demnach auf die insoweit frist- und formgerecht eingereichte Beschwerde - vorbehältich der nachstehenden Erwägungen - einzutreten (Art. 108 Abs. 2 AsylG, Art. 52 VwVG).</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2.3</w:t>
      </w:r>
    </w:p>
    <w:p>
      <w:r>
        <w:t>Vorliegend bilden die Fragen der Gewährung von Asyl und der Anerkennung der Flüchtlingseigenschaft nicht Gegenstand des angefochtenen Nichteintretensentscheides, weshalb auf die diesbezüglichen Beschwerdeanträge nicht einzutreten ist.</w:t>
      </w:r>
    </w:p>
    <w:p>
      <w:r>
        <w:rPr>
          <w:b/>
        </w:rPr>
        <w:t>E. 3</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w:t>
      </w:r>
    </w:p>
    <w:p>
      <w:r>
        <w:rPr>
          <w:b/>
        </w:rPr>
        <w:t>E. 4</w:t>
      </w:r>
    </w:p>
    <w:p>
      <w:r>
        <w:t>Nach 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 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 II-VO) zu prüfen. Gemäss Art. 5 i.V.m. Art. 6 bis 13 Dublin-II-VO ist unter anderem namentlich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w:t>
      </w:r>
    </w:p>
    <w:p>
      <w:r>
        <w:rPr>
          <w:b/>
        </w:rPr>
        <w:t>E. 5.1</w:t>
      </w:r>
    </w:p>
    <w:p>
      <w:r>
        <w:t>Das BFM erwog in der angefochtenen Verfügung, der Abgleich der Fingerabdrücke mit der Zentraleinheit EURODAC weise nach, dass der Beschwerdeführer (...) in Griechenland, (...) in Ungarn und (...) in Österreich ein Asylgesuch eingereicht habe. Die ungarischen Behörden hätten der Übernahme des Beschwerdeführers gestützt auf Art. 16 Abs. 1 Bst. e Dublin-II-VO gutgeheissen. Somit liege gemäss Dublin-Assoziierungs­abkommen die Zuständigkeit zur Durchführung des Asyl- und Wegweisungsverfahrens bei Ungarn. Weder die in Ungarn herrschende Situation noch andere Gründe würden gegen die Zumutbarkeit der Wegweisung nach Ungarn sprechen. Es gebe keine Hinweise darauf, dass die ungarischen Behörden keinen Schutz vor Übergriffen Dritter gewähren würden. Der Beschwerdeführer könne sich an die zuständige Polizeibehörde wenden, sollte er einer konkreten Bedrohung ausgesetzt sein.</w:t>
      </w:r>
    </w:p>
    <w:p>
      <w:r>
        <w:rPr>
          <w:b/>
        </w:rPr>
        <w:t>E. 5.2</w:t>
      </w:r>
    </w:p>
    <w:p>
      <w:r>
        <w:t>In der Rechtsmitteleingabe macht der Beschwerdeführer geltend, er könne nicht nach Ungarn zurückkehren, da er von der Schmuggler-Mafia gesucht werde. Diese wolle ihn umbringen, weil er (...) habe und mit seinen Kollegen geflohen sei, (...). Der ungarische Staat sei sehr rassistisch, die Wohnsituation für Asylsuchende sei sehr schlecht, und von der Polizei könne er nicht geschützt werden, weil diese teilweise mit der Mafia zusammenarbeite. Er habe in Ungarn einen Asylantrag gestellt, weil er nicht wegen illegaler Einreise ins Gefängnis habe gehen wollen und kein Geld mehr gehabt habe für die Weiterreise in die Schweiz. Er wünsche sich, dass die Schweiz ihm Asyl gewähre.</w:t>
      </w:r>
    </w:p>
    <w:p>
      <w:r>
        <w:rPr>
          <w:b/>
        </w:rPr>
        <w:t>E. 6.1</w:t>
      </w:r>
    </w:p>
    <w:p>
      <w:r>
        <w:t>Der Beschwerdeführer bestreitet nicht, in Ungarn gewesen zu sein und dort ein Asylgesuch eingereicht zu haben. Die grundsätzliche Zuständigkeit Ungarns für die Durchführung des Asyl- und Wegweisungsverfahrens ist damit gegeben (vgl. E. 4).</w:t>
      </w:r>
    </w:p>
    <w:p>
      <w:r>
        <w:rPr>
          <w:b/>
        </w:rPr>
        <w:t>E. 6.2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Der Beschwerdeführer bringt vor, die Aufenthaltsbedingungen in Ungarn seien sehr schlecht. Daraus vermag er jedoch nichts zu seinen Gunsten abzuleiten. Ungarn ist Signatarstaat der EMRK, der FK und der FoK, und es bestehen keine konkreten Hinweise dafür, dass sich Ungarn im vorliegenden Fall nicht an die daraus resultierenden Verpflichtungen halten würde. Unter dem Dublin-System besteht sodann die Vermutung, dass alle Mitgliedstaaten beziehungsweise staatsvertraglich assoziierten Staaten die Rechte der EMRK garantieren und die Zuständigkeitsordnung selbst ein EMRK-konformes Ergebnis liefert. Es liegen somit keine Anhaltspunkte vor, dass Ungarn seine staatsvertraglichen Verpflichtungen missachten und den Beschwerdeführer unter Missachtung des flüchtlingsrechtlichen Nonrefoulement-Gebotes oder von Art. 3 EMRK in den Heimatstaat zurückschaffen würde. Nach dem Gesagten besteht für die schweizerischen Asylbehörden insgesamt keine Veranlassung, in Abweichung von der festgestellten Zuständigkeitsordnung vom Selbsteintritt gemäss Art. 3 Abs. 2 Dublin-II-VO i.V.m. Art. 29a Abs. 3 des Asylverordnung 1 über Verfahrensfragen vom 11. August 1999 (AsylV 1; SR 142.311) Gebrauch zu machen.</w:t>
      </w:r>
    </w:p>
    <w:p>
      <w:r>
        <w:rPr>
          <w:b/>
        </w:rPr>
        <w:t>E. 6.3</w:t>
      </w:r>
    </w:p>
    <w:p>
      <w:r>
        <w:t>Wie das Bundesamt im angefochtenen Entscheid zutreffend festhält, ist zudem davon auszugehen, dass die ungarischen Behörden schutzfähig und schutzwillig sind, und er sich im Falle einer Bedrohung an die Polizei wenden kann.</w:t>
      </w:r>
    </w:p>
    <w:p>
      <w:r>
        <w:rPr>
          <w:b/>
        </w:rPr>
        <w:t>E. 6.4</w:t>
      </w:r>
    </w:p>
    <w:p>
      <w:r>
        <w:t>Die Vorinstanz ist somit zutreffend von der Zuständigkeit Ungarns ausgegangen und in Anwendung von Art. 34 Abs. 2 Bst. d AsylG zu Recht auf das Asylgesuch nicht eingetreten.</w:t>
      </w:r>
    </w:p>
    <w:p>
      <w:r>
        <w:rPr>
          <w:b/>
        </w:rPr>
        <w:t>E. 7.1</w:t>
      </w:r>
    </w:p>
    <w:p>
      <w:r>
        <w:t>Gemäss Art. 44 Abs. 1 AsylG verfügt das BFM,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7.2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demnach den Vollzug der Wegwei­sung nach Ungarn zu Recht als zulässig, zumutbar und möglich bezeichnet.</w:t>
      </w:r>
    </w:p>
    <w:p>
      <w:r>
        <w:rPr>
          <w:b/>
        </w:rPr>
        <w:t>E. 8</w:t>
      </w:r>
    </w:p>
    <w:p>
      <w:r>
        <w:t>Nach dem Gesagten ergibt sich, dass die angefochtene Verfügung Bundesrecht nicht verletzt und auch sonst nicht zu beanstanden ist (Art. 106 Abs. 1 AsylG). Die Beschwerde ist abzuweisen, soweit darauf einzutreten ist.</w:t>
      </w:r>
    </w:p>
    <w:p>
      <w:r>
        <w:rPr>
          <w:b/>
        </w:rPr>
        <w:t>E. 9</w:t>
      </w:r>
    </w:p>
    <w:p>
      <w:r>
        <w:t>Gemäss Art. 97 Abs. 1 AsylG dürfen Personendaten von Asylsuchenden, anerkannten Flüchtlingen und Schutzbedürftigen dem Heimat- oder Herkunftsstaat nicht bekanntgegeben werden, wenn dadurch eine betroffene Person gefährdet würde, und dürfen über ein Asylgesuch keine Angaben gemacht werden. Vorliegend ist nicht ersichtlich und wird auch nicht geltend gemacht, die Vorinstanz habe diesen Grundsatz oder die Regeln des Informationsaustausches gemäss Art. 21 Dublin II-VO verletzt, weshalb die diesbezüglichen Anträge abzuweisen sind.</w:t>
      </w:r>
    </w:p>
    <w:p>
      <w:r>
        <w:rPr>
          <w:b/>
        </w:rPr>
        <w:t>E. 10.1</w:t>
      </w:r>
    </w:p>
    <w:p>
      <w:r>
        <w:t>Der Antrag auf Gewährung der unentgeltlichen Prozessführung ist abzuweisen, da die Beschwerde als aussichtslos zu bezeichnen und ausserdem die Bedürftigkeit nicht nachgewiesen ist. Die weiteren prozessualen Anträge werden mit dem vorliegenden Direktentscheid in der Hauptsache gegenstandslos.</w:t>
      </w:r>
    </w:p>
    <w:p>
      <w:r>
        <w:rPr>
          <w:b/>
        </w:rPr>
        <w:t>E. 10.2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