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E-4483/2023 vom 19. November 2024</w:t>
      </w:r>
    </w:p>
    <w:p>
      <w:r>
        <w:t>Bundesverwaltungsgericht, 2024-11-19, DE</w:t>
      </w:r>
    </w:p>
    <w:p>
      <w:r>
        <w:rPr>
          <w:b/>
        </w:rPr>
        <w:t xml:space="preserve">Quelle: </w:t>
      </w:r>
      <w:r>
        <w:t>https://mcp.opencaselaw.ch/entscheid/bvger_E-4483_2023</w:t>
      </w:r>
    </w:p>
    <w:p>
      <w:r>
        <w:t>FR: TAF E-4483/2023 du 19 novembre 2024</w:t>
      </w:r>
    </w:p>
    <w:p>
      <w:r>
        <w:t>IT: TAF E-4483/2023 del 19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1.4</w:t>
      </w:r>
    </w:p>
    <w:p>
      <w:r>
        <w:t>Nachdem der Kostenvorschuss fristgerecht geleistet worden ist, ist auf die Beschwerde einzutreten.</w:t>
      </w:r>
    </w:p>
    <w:p>
      <w:r>
        <w:t>E-4483/2023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begründete die Ablehnung des Asylgesuchs in seiner Ver- fügung unter Hinweis auf die Praxis des Bundesverwaltungsgerichts mass- geblich damit, die von der Beschwerdeführerin vorgebrachten Asylgründe würden den Anforderungen an die Flüchtlingseigenschaft nicht genügen (verfügbarer behördlicher Schutz vor Nachstellungen Dritter, innerstaatli- che Schutzalternative).</w:t>
      </w:r>
    </w:p>
    <w:p>
      <w:r>
        <w:rPr>
          <w:b/>
        </w:rPr>
        <w:t>E. 3.2.1</w:t>
      </w:r>
    </w:p>
    <w:p>
      <w:r>
        <w:t>In der Beschwerde wird inhaltlich geltend gemacht, inzwischen sei die frauenfeindliche Politik der türkischen Regierung sichtbar geworden. Staatspräsident Erdogan habe die Istanbul-Konvention ausser Kraft ge- setzt und damit seinen Willen für einen grundlegenden ideologischen Neu- aufbau des Staates zum Ausdruck gebracht. Die vom SEM zitierten Urteile des Bundesverwaltungsgerichts würden schon mehr als drei Jahre zurück- liegen und seien nicht mit dem vorliegenden Fall vergleichbar.</w:t>
      </w:r>
    </w:p>
    <w:p>
      <w:r>
        <w:rPr>
          <w:b/>
        </w:rPr>
        <w:t>E. 3.2.2</w:t>
      </w:r>
    </w:p>
    <w:p>
      <w:r>
        <w:t>Der Vater habe die Beschwerdeführerin direkt mit dem Tod bedroht und ihr vorgeworfen, die Ehre der Familie zu beschmutzen. Seine Gewalt- bereitschaft sei aktenkundig. Er stamme aus einer patriarchalischen Ge- sellschaft und wolle namentlich die Beschwerdeführerin verheiratet zu Hause sehen. Sie habe nur studieren können, weil der Vater damals im Gefängnis gewesen sei. In ihrer Sippe würden nebst dem Vater auch an- dere männliche Verwandte glauben, ein Recht auf ihren Körper zu haben. Wie ihr Anwalt bestätigt habe, werde der Vater bald frei sein, zumal er eine Strafmilderung zugesprochen bekommen habe; nach seiner Freilassung werde er sie umbringen. Entgegen der Auffassung des SEM hätten die tür- kischen Behörden nicht alles getan, um die Beschwerdeführerin zu schüt- zen; so seien dem Vater zahlreiche Strafmilderungen zugestanden worden. Die Familie habe vor Gericht ihre Anzeige zurückgezogen, der Staat sei nur aktiv geworden, da die Tat auf der Strasse geschehen sei; die Drohun- gen im häuslichen Bereich seien nicht geahndet worden. Es sei noch un- geklärt, ob und wie lange der Vater nach einer erneuten Verurteilung ins Gefängnis müsse und die Einschätzung des SEM zur diesbezüglichen Schutzfähigkeit und zum Schutzwillen des türkischen Staates beruhe "auf ungeklärten Tatsachen". Eine innerstaatliche Ausweichmöglichkeit sei</w:t>
      </w:r>
    </w:p>
    <w:p>
      <w:r>
        <w:t>E-4483/2023 Seite 7 ausgeschlossen. Der Vater könne sie überall finden, sobald sie sich regis- trieren lasse; als (…) sei sie zudem in staatlichen Datenbanken auffindbar. Frauenhäuser würden nur befristeten und unvollständigen Schutz bieten. Die sunnitischen Sippen namentlich in der Region Urfa würden Frauen we- gen der Familienehre ermorden. Die türkische Regierung kämp-fe nicht da- gegen an, weil sie diese Verbündeten nicht verlieren wolle. Die vielen Frau- envereine in Regionen wie Urfa seien verboten worden. Ins-gesamt sei der türkische Staat weder in der Lage noch willens, Frauen vor männlicher Ge- walt zu schützen.</w:t>
      </w:r>
    </w:p>
    <w:p>
      <w:r>
        <w:rPr>
          <w:b/>
        </w:rPr>
        <w:t>E. 3.2.3</w:t>
      </w:r>
    </w:p>
    <w:p>
      <w:r>
        <w:t>Die Beschwerdeführerin rügt überdies, die Vorinstanz habe nicht be- rücksichtigt, dass sie sich in psychologischer Behandlung befinde; auch ihre exilpolitischen Aktivitäten seien unerwähnt geblieben. Damit sei der Sachverhalt unvollständig und unrichtig erstellt worden; die Verfügung sei deshalb zu kassieren.</w:t>
      </w:r>
    </w:p>
    <w:p>
      <w:r>
        <w:rPr>
          <w:b/>
        </w:rPr>
        <w:t>E. 4.1</w:t>
      </w:r>
    </w:p>
    <w:p>
      <w:r>
        <w:t>Gemäss Art. 6 AsylG in Verbindung mit Art. 12 VwVG stellen die Asyl- behörden den Sachverhalt von Amtes wegen fest (Untersuchungsma- xime). Dabei muss die Behörde die erforderlichen Sachverhaltsunterlagen beschaffen, die rechtlich relevanten Umstände abklären und darüber ord- nungsgemäss Beweis führen (Art. 30–33 VwVG). Der Untersuchungs- grundsatz findet seine Grenze an der Mitwirkungspflicht der Asylsuchen- den (Art. 8 AsylG, Art. 13 VwVG). Unrichtig ist die Sachverhaltsfeststellung, wenn der Verfügung ein falscher und aktenwidriger oder nicht weiter be- legbarer Sachverhalt zugrunde gelegt wurde; unvollständig ist sie, wenn die Behörde den Sachverhalt nicht von Amtes wegen abgeklärt hat oder wenn nicht alle für den Entscheid wesentlichen Sachumstände berücksich- tigt wurden (vgl. dazu BVGE 2016/2 E. 4.3).</w:t>
      </w:r>
    </w:p>
    <w:p>
      <w:r>
        <w:rPr>
          <w:b/>
        </w:rPr>
        <w:t>E. 4.2</w:t>
      </w:r>
    </w:p>
    <w:p>
      <w:r>
        <w:t>Die Beschwerdeführerin hat in der Anhörung erwähnt, sie befinde sich in psychologischer Behandlung. Man habe ihr im BAZ erklärt, dass sie in diesem Zusammenhang ihre Rechtsvertretung informieren müsse (vgl. Protokoll vom 2. Mai 2023 F/A16). In der Folge reichte sie keine wei- teren Unterlagen zu den Akten des SEM; darauf wurde in der angefochte- nen Verfügung hingewiesen (vgl. angefochtene Verfügung S. 6). Bei dieser Sachlage durfte das SEM zu Recht auf die Vornahme von zusätzlichen medizinischen Abklärungen verzichten. Nachdem erst im Verlauf des Be- schwerdeverfahrens medizinische Unterlagen eingereicht wurden, muss sich die Vorinstanz keine Verletzung des Untersuchungsgrundsatzes vor- halten lassen. Dass die Beschwerdeführerin exilpolitisch tätig sei, wurde</w:t>
      </w:r>
    </w:p>
    <w:p>
      <w:r>
        <w:t>E-4483/2023 Seite 8 ebenfalls erstmals auf Beschwerdeebene vorgebracht. Soweit die Ein- schätzung des SEM hinsichtlich der Schutzfähigkeit der Türkei von der Be- schwerdeführerin nicht geteilt wird, beschlägt dies nicht die Sachverhalts- ermittlung, sondern die materiell-rechtliche Beurteilung der Asylgründe.</w:t>
      </w:r>
    </w:p>
    <w:p>
      <w:r>
        <w:rPr>
          <w:b/>
        </w:rPr>
        <w:t>E. 4.3</w:t>
      </w:r>
    </w:p>
    <w:p>
      <w:r>
        <w:t>Der rechtserhebliche Sachverhalt ist vom SEM nach dem Gesagten rechtskonform erstellt worden. Der Antrag auf Rückweisung der Sache an die Vorinstanz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hat die ursprünglichen Asylvorbringen der Beschwerdeführe- rin mit ausführlicher und zutreffender Begründung als asylrechtlich nicht relevant qualifiziert. Es kann vorweg auf diese Ausführungen in der vor- instanzlichen Verfügung verwiesen werden (vgl. dort S. 3 ff.).</w:t>
      </w:r>
    </w:p>
    <w:p>
      <w:r>
        <w:rPr>
          <w:b/>
        </w:rPr>
        <w:t>E. 6.2.1</w:t>
      </w:r>
    </w:p>
    <w:p>
      <w:r>
        <w:t>Im Referenzurteil E-1948/2018 vom 12. Juni 2018 sowie den vom SEM zitierten weiteren Urteilen hat sich das Gericht mehrfach zu Schutz- fähigkeit und zum Schutzwillen der türkischen Behörden hinsichtlich des Umgangs mit Opfern von häuslicher Gewalt (und Zwangsheirat) geäussert; es ist dabei zum Schluss gekommen, die bedrohten Frauen seien inner- familiären Übergriffen nicht völlig schutzlos ausgeliefert und die türkischen Behörden seien entschlossen, gegen Ehrenmorde und häusliche Gewalt</w:t>
      </w:r>
    </w:p>
    <w:p>
      <w:r>
        <w:t>E-4483/2023 Seite 9 effektiv vorzugehen sowie grundsätzlich in der Lage, Schutz zu gewähren (vgl. das erwähnte Referenzurteil E-1948/2018 E. 5.2 ff. m.w.H.; Urteile E-4377/2019 vom 8. November 2019 E. 6.1, E-1175/2020 vom 16. März 2020 E. 7.2.2, E-2593/2021 vom 31. August 2021 E. 7.3.1, D-2682/2020 vom 12. Januar 2023 E. 6.2.2 f. [die beiden Letzteren mit der Rechtsver- treterin der Beschwerdeführerin]). Die von der Beschwerdeführerin einge- reichten Gerichtsunterlagen, namentlich das Urteil vom (…) Dezember 2022, das mit einem Schuldspruch gegen den Vater endete, bestätigen diese Ausführungen. Der Umstand, dass dieses Urteil gemäss Anwalts- schreiben vom 3. Mai 2023 angefochten worden ist, vermag nicht zu einem anderen Schluss zu führen.</w:t>
      </w:r>
    </w:p>
    <w:p>
      <w:r>
        <w:rPr>
          <w:b/>
        </w:rPr>
        <w:t>E. 6.2.2</w:t>
      </w:r>
    </w:p>
    <w:p>
      <w:r>
        <w:t>Es gibt zwar Hinweise darauf, dass die Türkei den eingeschlagenen Reformkurs zur Verbesserung der gesellschaftlichen und rechtlichen Situ- ation der Frauen in den letzten Jahren nicht mehr gleichermassen weiter- verfolgt. Der türkische Staatspräsident ist wiederholt mit umstrittenen Äusserungen zur Rolle der Frau in der türkischen Gesellschaft zitiert wor- den und seit dem gescheiterten Putsch von Mitte Juli 2016 ist eine Zu- nahme der Gewalt gegen Frauen zu verzeichnen; in der türkischen Politik scheint sich zunehmend ein konservativ-religiös geprägtes Frauenbild durchzusetzen. So ist die Türkei am 1. Juli 2021 aus der Istanbul-Konven- tion (Übereinkommen des Europarats zur Verhütung und Bekämpfung von Gewalt gegen Frauen und häuslicher Gewalt vom 11. Mai 2011, SR 0.311.35) ausgetreten.</w:t>
      </w:r>
    </w:p>
    <w:p>
      <w:r>
        <w:rPr>
          <w:b/>
        </w:rPr>
        <w:t>E. 6.2.3</w:t>
      </w:r>
    </w:p>
    <w:p>
      <w:r>
        <w:t>Entgegen der Auffassung in der Beschwerde vermögen diese Fest- stellungen die gefestigte Praxis des Gerichts zur Schutzfähigkeit und -bereitschaft der türkischen Behörden vorderhand noch nicht grundlegend zu erschüttern, mithin hat die bestehende Praxis weiterhin Bestand (vgl. Urteil D-2682/2020 a.a.O. E. 6.2.4; zur grundsätzlichen Schutzfähig- keit und zum Schutzwillen der türkischen Strafverfolgungs- und Justiz- behörden vgl. in letzter Zeit etwa Urteile E-150/2024 vom 18. Januar 2024 E. 6.2.1, E-4548/2020 vom 23. Oktober 2023 E. 5.1, D-4435/2022 vom 24. Oktober 2022 E. 6.4, E-970/2022 vom 8. März 2022 E. 7). Die Ausfüh- rungen der Vorinstanz sind daher zu bestätigen, wonach die Beschwerde- führerin sich mit ihrem Schutzanliegen weiterhin an die staatlichen Institu- tionen wenden kann, sie allfälligen künftigen Übergriffen des Vaters nicht schutzlos ausgeliefert wäre und es ihr bei Bedarf auch zuzumuten wäre, sich in einem anderen Landesteil der Türkei selbständig bei den entspre- chenden Stellen zu melden und erneut die Hilfe staatlicher Schutzeinrich- tungen und rechtlicher Anlaufstellen in Anspruch zu nehmen.</w:t>
      </w:r>
    </w:p>
    <w:p>
      <w:r>
        <w:t>E-4483/2023 Seite 10</w:t>
      </w:r>
    </w:p>
    <w:p>
      <w:r>
        <w:rPr>
          <w:b/>
        </w:rPr>
        <w:t>E. 7.1</w:t>
      </w:r>
    </w:p>
    <w:p>
      <w:r>
        <w:t>Auf Beschwerdeebene wird sodann insbesondere vorgebracht, die Be- schwerdeführerin betätige sich in der Schweiz exilpolitisch und es sei nun- mehr in der Türkei deswegen ein Verfahren gegen sie anhängig gemacht worden; dies könne sie mit den eingereichten Dokumenten belegen.</w:t>
      </w:r>
    </w:p>
    <w:p>
      <w:r>
        <w:rPr>
          <w:b/>
        </w:rPr>
        <w:t>E. 7.2</w:t>
      </w:r>
    </w:p>
    <w:p>
      <w:r>
        <w:t>Die Vorinstanz führte im Rahmen der beiden Schriftenwechsel dazu massgeblich das Folgende aus:</w:t>
      </w:r>
    </w:p>
    <w:p>
      <w:r>
        <w:rPr>
          <w:b/>
        </w:rPr>
        <w:t>E. 7.2.1</w:t>
      </w:r>
    </w:p>
    <w:p>
      <w:r>
        <w:t>Das Bestätigungsschreiben des E._______ vom (…) September 2023 sowie die Fotos und Artikel würden die Beschwerdeführerin nicht als Person erscheinen lassen, die aus der Masse der mit dem Regime Unzu- friedenen besonders hervortrete und den Eindruck einer ernsthaften und gefährlichen Regimegegnerin erwecke. Die Beweismittel würden die Be- schwerdeführerin lediglich als gewöhnliche Teilnehmerin zweier Protest- veranstaltungen, sowie an einem Verkaufs-/Infostand zeigen. Beim Schrei- ben vom (…) September 2023 könne es sich im Übrigen auch um ein Ge- fälligkeitsschreiben handeln, zumal die Webseite der Organisation (www.E._______) nicht abrufbar sei. Selbst bei Wahrunterstellung würden die darin beschriebenen "organisatorischen und aktiven" Teilnahmen an den genannten Veranstaltungen keinen hinreichenden Exponierungsgrad begründen, zumal die Beschwerdeführerin in der Türkei politisch nicht in Erscheinung getreten sei. Dass die türkischen Behörden von ihren Tätig- keiten Kenntnis und ein Interesse an einer Verfolgung aus einem flücht- lingsrechtlich relevanten Motiv hätten, sei bei dieser Aktenlage nicht wahr- scheinlich.</w:t>
      </w:r>
    </w:p>
    <w:p>
      <w:r>
        <w:rPr>
          <w:b/>
        </w:rPr>
        <w:t>E. 7.2.2</w:t>
      </w:r>
    </w:p>
    <w:p>
      <w:r>
        <w:t>Zu den drei Gerichtsdokumenten hielt das SEM vorab fest, diese wür- den abgesehen von der Nennung des Deliktstatbestands (Art. 7/2 des An- titerrorgesetzes) keinen materiellen Inhalt aufweisen, sondern aus standar- disierten Bausteinen bestehen und damit keinen Rückschluss darauf zu- lassen, was der Beschwerdeführerin konkret vorgeworfen werde. Insbe- sondere enthielten die Dokumente keinerlei Hinweise auf Aktivitäten der Beschwerdeführerin in der Schweiz und sie würden auch keine (verifizier- baren) Sicherheitsmerkmale enthalten und seien damit entsprechend ein- fach zu fälschen. Die Dokumente hätten daher nur geringen Beweiswert.</w:t>
      </w:r>
    </w:p>
    <w:p>
      <w:r>
        <w:rPr>
          <w:b/>
        </w:rPr>
        <w:t>E. 7.2.3</w:t>
      </w:r>
    </w:p>
    <w:p>
      <w:r>
        <w:t>Ihrer Funktion nach würden die Justizdokumente lediglich die Einver- nahme der Beschwerdeführerin bezwecken, wobei weder vorher noch nachher eine Inhaftierung beschlossen oder beantragt werde. Es falle zu- dem auf, dass der Antrag der Staatsanwaltschaft auf Festnahme zwecks Einvernahme am (…) Dezember 2023 ergangen, und als Tatzeitpunkt der</w:t>
      </w:r>
    </w:p>
    <w:p>
      <w:r>
        <w:t>E-4483/2023 Seite 11 (…) Juli 2023 – (…) Tage nach Eröffnung des negativen Asyl-entscheids – vermerkt sei. Auch die zeitliche Nähe zwischen diesem Antrag der Staats- anwaltschaft und den Erkundigungen des türkischen Rechtsanwalts der Beschwerdeführerin nach einem allfälligen erhobenen Strafverfahren sei augenfällig. Sodann seien (wie der türkische Rechtsanwalt im Schreiben vom (…) Dezember 2023 festhalte) in der Ermittlungsphase bis zum Ab- schluss der polizeilichen Ermittlungen keine Informationen oder Unterlagen erhältlich und dazu gehöre auch die Einvernahme der tatverdächtigen Per- son. Damit erstaune erstens, dass der Rechtsvertreter zu dieser Informa- tion gelangt sei und erklärt habe, es gebe "möglicherweise" Ermittlungsun- terlagen, und zweitens, dass es der Beschwerdeführerin über ihren Anwalt in der Türkei überhaupt möglich gewesen sei, die drei Justizdokumente in diesem Stadium der Ermittlungen zu besorgen.</w:t>
      </w:r>
    </w:p>
    <w:p>
      <w:r>
        <w:rPr>
          <w:b/>
        </w:rPr>
        <w:t>E. 7.2.4</w:t>
      </w:r>
    </w:p>
    <w:p>
      <w:r>
        <w:t>Im Zusammenhang mit solchen Justizdokumenten sei zudem mittler- weile öffentlich bekannt, dass sie in der Türkei problemlos gegen Entgelt beschafft werden könnten, sogar über korrupte Justizangestellte. Dieses Phänomen habe derartige Ausmasse angenommen, dass selbst türkische Medien darüber berichten würden. Abschliessend sei darauf hinzuweisen, dass in der Türkei Ermittlungs-/Untersuchungsverfahren zwar in grosser Zahl eingeleitet, jedoch oft auch wieder eingestellt würden. Vor diesem Hin- tergrund sei zum jetzigen Zeitpunkt offen, ob die Ermittlungen respektive Untersuchungen in absehbarer Zeit überhaupt zur Eröffnung eines Ge- richtsverfahrens oder gar einer späteren Verurteilung der Beschwerdefüh- rerin aus einem flüchtlingsrechtlich relevanten Motiv führen würden. Zu- dem seien den Akten keine Hinweise zu entnehmen, dass die Beschwer- deführerin über ein exponiertes Profil verfüge, welches eine Inhaftierung als wahrscheinlich erscheinen lasse. Insgesamt entstehe vielmehr der Ein- druck, das vorliegende Strafverfolgung sei provoziert oder kreiert worden, um subjektive Nachfluchtgründe zu begründen und einen Aufenthaltsstatus in der Schweiz zu erzwingen.</w:t>
      </w:r>
    </w:p>
    <w:p>
      <w:r>
        <w:rPr>
          <w:b/>
        </w:rPr>
        <w:t>E. 7.3</w:t>
      </w:r>
    </w:p>
    <w:p>
      <w:r>
        <w:t>Diesen Erwägungen des SEM hält die Beschwerdeführerin Folgendes entgegen:</w:t>
      </w:r>
    </w:p>
    <w:p>
      <w:r>
        <w:rPr>
          <w:b/>
        </w:rPr>
        <w:t>E. 7.3.1</w:t>
      </w:r>
    </w:p>
    <w:p>
      <w:r>
        <w:t>Solange die Ermittlungsverfahren in der Türkei laufen würden, er- halte die betroffene Person respektive der Anwalt wenig Informationen; erst nach Erhebung der Anklage werde Einsicht in das Verfahren gewährt (sofern die Akte nicht der Geheimhaltung unterliege). Die eingereichten Dokumente des Verfahrens seien mit einem QR-Code versehen und somit echt. Die in der Vernehmlassung vorgebrachten Argumente würden nicht ausreichen, um diese Dokumente als nicht authentisch einzustufen.</w:t>
      </w:r>
    </w:p>
    <w:p>
      <w:r>
        <w:t>E-4483/2023 Seite 12</w:t>
      </w:r>
    </w:p>
    <w:p>
      <w:r>
        <w:rPr>
          <w:b/>
        </w:rPr>
        <w:t>E. 7.3.2</w:t>
      </w:r>
    </w:p>
    <w:p>
      <w:r>
        <w:t>Der Beschwerdeführerin werde Propaganda für eine terroristische Organisation vorgeworfen, wobei weder sie noch der Anwalt Kenntnis hät- ten, auf welches Verhalten sich dieser Vorwurf abstütze. Der Tatbestand der Propaganda für eine terroristische Vereinigung sei bekanntlich sehr weit gefasst.</w:t>
      </w:r>
    </w:p>
    <w:p>
      <w:r>
        <w:rPr>
          <w:b/>
        </w:rPr>
        <w:t>E. 7.3.3</w:t>
      </w:r>
    </w:p>
    <w:p>
      <w:r>
        <w:t>Die zeitliche Nähe zwischen Ersuchen der Staatsanwaltschaft und den Erkundigungen ihres Rechtanwaltes ergebe sich daraus, dass die Be- schwerdeführerin in der Schweiz exilpolitisch aktiv sei und die rechtliche Situation habe abklären müssen. Wie in der Schweiz werde auch in der Türkei das Ermittlungsverfahren verdeckt geführt.</w:t>
      </w:r>
    </w:p>
    <w:p>
      <w:r>
        <w:rPr>
          <w:b/>
        </w:rPr>
        <w:t>E. 7.3.4</w:t>
      </w:r>
    </w:p>
    <w:p>
      <w:r>
        <w:t>Ein Rechtsanwalt könne sich in jedem Fall bei der Staatsanwaltschaft erkundigen, ob gegen eine Person ein Strafverfahren geführt werde, dies auch ohne Vollmacht. Mit dem Antrag auf Erlass eines Haftbefehls sei die verdeckte Ermittlung der Polizei grundsätzlich beendet, und für die be- troffene Person oder den Anwalt würden die Dokumente eines Strafverfah- rens durch UYAP zugänglich gemacht. Vor Beantragung eines Haftbefehls, werde nach dem Verdächtigen in seiner möglichen Umgebung gesucht. Wenn diese Nachforschungen ergebnislos verlaufen würden, werde Antrag auf Erlass eines Haftbefehls zur polizeilichen Vorführung beim Strafrichter- amt gestellt. Nach Erlass des Haftbefehls werde der Verdächtige festge- nommen und mit polizeilichem Zwang der Staatsanwaltschaft vorgeführt. Daher sei nicht erstaunlich, dass der Anwalt nach dem Antrag auf Erlass eines Haftbefehls Einsicht in diese Dokumente nehmen könne. Dies er- folge in der Regel über das UYAP-System. Die von der Vorinstanz erwähn- ten Vergleichsfälle würden nicht den gleichen rechtlichen Sachverhalt be- treffen.</w:t>
      </w:r>
    </w:p>
    <w:p>
      <w:r>
        <w:rPr>
          <w:b/>
        </w:rPr>
        <w:t>E. 7.3.5</w:t>
      </w:r>
    </w:p>
    <w:p>
      <w:r>
        <w:t>Dass die Dokumente des Strafverfahrens abgesehen von der Be- zeichnung der Straftat nach Art. 7 Abs. 2 des Terrorismusbekämpfungs- gesetzes keinen weiteren detaillierten Inhalt beinhalten würden, entspre- che der üblichen Praxis der türkischen Justizbehörden.</w:t>
      </w:r>
    </w:p>
    <w:p>
      <w:r>
        <w:rPr>
          <w:b/>
        </w:rPr>
        <w:t>E. 7.4.1</w:t>
      </w:r>
    </w:p>
    <w:p>
      <w:r>
        <w:t>In seiner bisherigen Rechtsprechung zur asylrechtlichen Relevanz exilpolitischer Aktivitäten von türkischen Asylsuchenden geht das Bundes- verwaltungsgericht davon aus, dass kurdische Exilorganisationen und ein- zelne Exponenten eines gewissen Formats von regimetreuen türkischen Staatsangehörigen oder im Ausland lebenden Behördenvertretern beo- bachtet werden. Dieser Umstand reicht allein nicht aus, um eine tatsächli- che Gefährdung im Fall der Rückkehr in die Türkei als wahrscheinlich</w:t>
      </w:r>
    </w:p>
    <w:p>
      <w:r>
        <w:t>E-4483/2023 Seite 13 erscheinen zu lassen. Vielmehr müssten konkrete Anhaltspunkte – nicht nur die abstrakte oder rein theoretische Möglichkeit – dafür vorliegen, dass exilpolitisch aktive Staatsangehörige der Türkei tatsächlich das Interesse der heimatlichen Behörden auf sich gezogen haben respektive sie als re- gimefeindliche Person namentlich identifiziert und registriert worden sind. Das Gericht geht davon aus, dass sich die türkischen Behörden vor allem auf die Erfassung von Personen konzentrieren, die über die massentypi- schen und niedrigprofilierten Erscheinungsformen exilpolitischer Proteste hinaus Funktionen wahrgenommen und/oder Aktivitäten entwickelt haben, welche die Person aus der Masse der Unzufriedenen herausheben und als ernsthaften und gefährlichen Regimegegner erscheinen lassen (vgl. hierzu etwa die Urteile des BVGer D-5125/2015 vom 30. Mai 2018 E. 9.3, D-705/2018 vom 18. Februar 2019 E. 6.1.1, E-6542/2017 vom 11. Novem- ber 2019 E. 7.3.3).</w:t>
      </w:r>
    </w:p>
    <w:p>
      <w:r>
        <w:rPr>
          <w:b/>
        </w:rPr>
        <w:t>E. 7.4.2</w:t>
      </w:r>
    </w:p>
    <w:p>
      <w:r>
        <w:t>Die (inhaltlich weitgehend identischen) Bestätigungsschreiben des E._______ vom (…) September 2023 und (…) Februar 2024, die der Be- schwerdeführerin attestieren, sich zunächst in der Kultur-, anschliessend in der Sozialkommission engagiert und an Demonstrationen vom "(…) No- vember" (ohne Jahrzahl) und "(…) März" (ohne Jahrzahl) teilgenommen zu haben, vermögen eine solche Exponiertheit nicht zu begründen. Die Foto- grafien, die ihre Teilnahmen an Demonstrationen vom (…) 2023 und (…) 2023 sowie ihre Teilnahme an einem kurdischen (...)festival im (…) 2023 dokumentieren sollen, führen zu keinem anderen Schluss, zumal die Be- schwerdeführerin auf diesen Bildern nicht im oben genannten Sinn aus der Masse der anderen Teilnehmenden hervorsticht und es sich bei der Auf- nahme der Beschwerdeführerin an einem Tisch um einen privaten Schnappschuss zu handeln scheint, der keine weiteren Rückschlüsse auf die Umstände, unter denen das Bild entstanden ist, zulässt.</w:t>
      </w:r>
    </w:p>
    <w:p>
      <w:r>
        <w:rPr>
          <w:b/>
        </w:rPr>
        <w:t>E. 7.4.3</w:t>
      </w:r>
    </w:p>
    <w:p>
      <w:r>
        <w:t>Die dokumentierten exilpolitischen Betätigungen dürften insgesamt kaum das nun behauptete Interesse der türkischen Strafermittlungsbehör- den bewirkt haben.</w:t>
      </w:r>
    </w:p>
    <w:p>
      <w:r>
        <w:rPr>
          <w:b/>
        </w:rPr>
        <w:t>E. 7.4.4</w:t>
      </w:r>
    </w:p>
    <w:p>
      <w:r>
        <w:t>Hinsichtlich der eingereichten Dokumente schliesst sich das Bundes- verwaltungsgericht den entsprechenden Erwägungen der Vorinstanz an. Ergänzend ist namentlich festzuhalten, dass der "Antrag der Staatsanwalt- schaft D._______ an das Strafrichteramt vom (…) Dezember 2023" als Da- tum des Delikts (Suç Tarihi) den (…) 2023 und als Deliktort (Suç Yeri) "F._______" nennt, obwohl die Beschwerdeführerin zu diesem Zeitpunkt bereits (...) ausser Landes gewesen ist. Auf der anderen Seite fehlen im "Vorführungsbefehl des (…) Strafrichteramt D._______ vom</w:t>
      </w:r>
    </w:p>
    <w:p>
      <w:r>
        <w:t>E-4483/2023 Seite 14 (…) Dezember 2023" Angaben zum Deliktsort vollständig, das Dokument ist auch sonst nicht vollständig ausgefüllt und weist Auffälligkeiten auf; so scheint etwa der Geburtsort nicht mit dem von der Beschwerdeführerin ge- nannten übereinzustimmen. Damit entstehen insgesamt Zweifel an der Au- thentizität dieser nachträglich eingereichten, nicht fälschungssicheren Do- kumente.</w:t>
      </w:r>
    </w:p>
    <w:p>
      <w:r>
        <w:rPr>
          <w:b/>
        </w:rPr>
        <w:t>E. 7.4.5</w:t>
      </w:r>
    </w:p>
    <w:p>
      <w:r>
        <w:t>Ungeachtet dessen kann mit diesen Dokumente allenfalls die Phase eines Ermittlungsstadiums belegt werden, und es ist offen, ob (falls es überhaupt zu einer Anklage käme) das zuständige Gericht eine Anklage als begründet erachten und ein Gerichtsverfahren eröffnen würde, ob die Beschwerdeführerin aus flüchtlingsrechtlich relevanten Gründen zu einer Strafe flüchtlingsrechtlich relevanter Intensität verurteilt werden und ob diese Verurteilung von den Rechtsmittelinstanzen bestätigt würde (vgl. Ur- teil BVGer E-4103/2024 vom 8. November 2024 E. 8). In diesem Zusam- menhang ist daran zu erinnern, dass die Beschwerdeführerin strafrechtlich gänzlich unbescholten ist und keinerlei politisches Profil aufweist. Sie hatte im erstinstanzlichen Verfahren unmissverständlich angegeben, nur wegen des gewalttätigen Vaters ausgereist zu sein und keine weiteren Asylgründe zu haben (vgl. Protokoll Anhörung F98, F99); zudem hat sie zu Protokoll gegeben, sie sei nie Mitglied einer Partei oder politischen Gruppierung ge- wesen; zwar habe sie an Aktionen der Kurdenpartei HDP teilgenommen, dies als Studierende jedoch nicht offen gezeigt (vgl. a.a.O. F140 ff.).</w:t>
      </w:r>
    </w:p>
    <w:p>
      <w:r>
        <w:rPr>
          <w:b/>
        </w:rPr>
        <w:t>E. 7.4.6</w:t>
      </w:r>
    </w:p>
    <w:p>
      <w:r>
        <w:t>Die Beschwerdeführerin wies zum Zeitpunkt ihrer Ausreise die Flüchtlingseigenschaft nicht auf, was sich auch daran zeigt, dass sie die Türkei legal auf dem Luftweg verlassen konnte (vgl. Protokoll Anhö- rung F73). Nach den vorstehenden Ausführungen ist nicht davon auszuge- hen, dass sie mit beachtlicher Wahrscheinlichkeit befürchten muss, bei ei- ner Rückkehr in absehbarer Zukunft flüchtlingsrechtlich relevante Nach- teile zu erleiden. Es ist ihr damit nicht gelungen, Asylgründe gemäss Art. 3 AsylG oder sogenannte subjektive Nachfluchtgründe gemäss Art. 54 AsylG glaubhaft zu machen. Das SEM hat zu Recht festgestellt, dass sie die Flüchtlingseigenschaft nicht aufweist, und ihr Asylgesuch abgelehnt.</w:t>
      </w:r>
    </w:p>
    <w:p>
      <w:r>
        <w:rPr>
          <w:b/>
        </w:rPr>
        <w:t>E. 8</w:t>
      </w:r>
    </w:p>
    <w:p>
      <w:r>
        <w:t>Lehnt das SEM das Asylgesuch ab oder tritt es darauf nicht ein,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w:t>
      </w:r>
    </w:p>
    <w:p>
      <w:r>
        <w:t>E-4483/2023 Seite 15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t>E-4483/2023 Seite 16</w:t>
      </w:r>
    </w:p>
    <w:p>
      <w:r>
        <w:rPr>
          <w:b/>
        </w:rPr>
        <w:t>E. 9.2.3</w:t>
      </w:r>
    </w:p>
    <w:p>
      <w:r>
        <w:t>Es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nach dem Gesagten nicht. Auch die allgemeine Menschenrechtssituation im Heimatstaat lässt den Wegwei- sungsvollzug zum heutigen Zeitpunkt nicht als unzulässig erscheinen.</w:t>
      </w:r>
    </w:p>
    <w:p>
      <w:r>
        <w:rPr>
          <w:b/>
        </w:rPr>
        <w:t>E. 9.2.4</w:t>
      </w:r>
    </w:p>
    <w:p>
      <w:r>
        <w:t>Der Vollzug der Wegweisung ist sowohl im Sinn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der Entwicklungen im Nachgang des Putschversuchs vom Juli 2016 ist nicht von einer landesweiten Situation allgemeiner Gewalt oder von bürgerkriegsähnlichen Verhältnissen auf dem Staatsgebiet der Türkei auszugehen (vgl. Referenzurteil E-1948/2018 a.a.O. E. 7.3; statt vieler Urteil BVGer D-2184/2021 vom 5. September 2022 E. 7.4.1). In seiner bisherigen Praxis ging das Bundesverwaltungs- gericht nur bei den Provinzen Hakkari und Sirnak von einer generellen Un- zumutbarkeit aus (vgl. hierzu Urteil E-4103/2024 a.a.O. E. 13).</w:t>
      </w:r>
    </w:p>
    <w:p>
      <w:r>
        <w:rPr>
          <w:b/>
        </w:rPr>
        <w:t>E. 9.3.2</w:t>
      </w:r>
    </w:p>
    <w:p>
      <w:r>
        <w:t>Am 6. Februar 2023 forderten schwere Erdbeben im Südosten der Türkei tausende Todesopfer und zerstörten grosse Teile der Infrastruktur. Der türkische Präsident verhängte daraufhin vorübergehend den Ausnah- mezustand über die elf betroffenen Provinzen (Kahramanmaras, Hatay, Gaziantep, Osmaniye, Malatya, Adiyaman, Adana, Diyarbakir, Kilis, Sanli- urfa und Elazig).</w:t>
      </w:r>
    </w:p>
    <w:p>
      <w:r>
        <w:t>E-4483/2023 Seite 17</w:t>
      </w:r>
    </w:p>
    <w:p>
      <w:r>
        <w:rPr>
          <w:b/>
        </w:rPr>
        <w:t>E. 9.3.3</w:t>
      </w:r>
    </w:p>
    <w:p>
      <w:r>
        <w:t>Die Beschwerdeführerin stammt aus der Provinz Sanliurfa, welche von den Erdbeben betroffen war. Die Vorinstanz qualifizierte den Vollzug der Wegweisung der Beschwerdeführerin in ihre Heimatprovinz als "zurzeit […] generell unzumutbar" (vgl. angefochtene Verfügung S. 5 f.), schloss jedoch auf eine individuell zumutbare innerstaatliche Aufenthaltsalternative ausserhalb dieser Provinz. Das SEM hat ausführlich und zutreffend be- gründet, dass der Beschwerdeführerin aufgrund ihrer Biografie, ihrer fami- liären Verhältnisse sowie ihrer Berufsausbildung und -erfahrung eine Wohnsitznahme ausserhalb dieser erdbebengeschädigten Provinz zuzu- muten ist; dies namentlich in der Provinz Van, in der sie mehrere Jahre (…) (vgl. a.a.O. S. 6). Der Vollständigkeit halber ist an dieser Stelle auf ein in- zwischen ergangenes Referenzurteil des Bundesverwaltungsgerichts hin- zuweisen, gemäss dem der Vollzug der Wegweisung in eine der elf von den Erdbeben betroffenen Provinzen nicht generell unzumutbar und die Beurteilung der Zumutbarkeit des Wegweisungsvollzugs im Rahmen einer einzelfallweisen Prüfung der individuellen Lebenssituation der Betroffenen vorzunehmen und dabei insbesondere der Situation vulnerabler Personen gebührend Rechnung zu tragen ist (vgl. Referenzurteil E-1308/2023 vom 19. März 2024 E. 11.3).</w:t>
      </w:r>
    </w:p>
    <w:p>
      <w:r>
        <w:rPr>
          <w:b/>
        </w:rPr>
        <w:t>E. 9.3.4</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9.3.5</w:t>
      </w:r>
    </w:p>
    <w:p>
      <w:r>
        <w:t>Die Beschwerdeführerin reichte betreffend ihren Gesundheits- zustand auf Beschwerdeebene einen (bereits acht Monate vor Erlass der angefochtenen Verfügung verfassten) Austrittsbericht des Psychiatriezent- rums G._______ vom 16. November 2022 zu den Akten, in dem als Diag- nosen Anpassungsstörungen sowie der Verdacht auf eine Posttraumati- sche Belastungsstörung (PTBS) gestellt werden und unter anderem ver- merkt wird, von suizidalen Absichten habe sie sich distanziert. In dem über ein Jahr später datierenden Therapiebericht vom 19. Dezember 2023 stellt lic. phil. H._______, Psychologe FSP, fest, die Beschwerdeführerin sei seit</w:t>
      </w:r>
    </w:p>
    <w:p>
      <w:r>
        <w:t>E-4483/2023 Seite 18 dem 17. August 2023 bei ihm in Behandlung; er stellt die Diagnosen einer depressiven Störung, mit gegenwärtig mittelgradiger Episode sowie einer PTBS. Es seien latente Suizidgedanken vorhanden, die Beschwerdeführe- rin benötige therapeutische Gespräche und enge Begleitung, wobei eine medizinische Versorgung in der Türkei als nicht ausreichend eingeschätzt wird. In einem weiteren Bericht dieses Psychologen sowie des Psychiaters Dr. med. I._______ vom 22. Februar 2024 werden die Diagnosen vom 19. Dezember 2023 bestätigt und festgehalten, die Beschwerdeführerin bedürfe weiterhin einer medikamentösen und psychotherapeutischen Un- terstützung (aktuell seien dies wöchentliche Kontrollgespräche). Es be- dürfe mindestens zwölf Monate, bis die therapeutische Arbeit ihre positive Wirkung zeige. Die Behandlungsmöglichkeiten im Heimatland seien nicht ausreichend und ohne Behandlung bestehe im Fall einer Wegweisung die Gefahr einer Retraumatisierung sowie gegebenenfalls Suizidalität. Die Be- schwerdeführerin sei nicht reisefähig.</w:t>
      </w:r>
    </w:p>
    <w:p>
      <w:r>
        <w:rPr>
          <w:b/>
        </w:rPr>
        <w:t>E. 9.3.6</w:t>
      </w:r>
    </w:p>
    <w:p>
      <w:r>
        <w:t>Vorweg ist zu bemerken, dass medizinische Berichte in ihrer Anam- nese schwerpunktmässig auf Angaben der Patienten beruhen. Gemäss Austrittbericht vom 16. November 2022 hat der Beschwerdeführerin offen- bar insbesondere eine räumliche Trennung von ihrem kurz vor ihr in die Schweiz gereisten Freund (mit dem sie seit vier Jahren eine Beziehung habe) Probleme bereitet, wobei ihr besonders zu schaffen gemacht habe, dass die Familie den Freund nicht akzeptiert habe. Gemäss ihren in den Berichten vom 19. Dezember 2023 und 22. Februar 2024 festgehaltenen, Angaben habe die Beschwerdeführerin zu den Eltern ein schlechtes Ver- hältnis gehabt; aus ihren Angaben in der Anhörung zu den Asylgründen ist eher zu schliessen, dass sie zur Mutter ein gutes Verhältnis hatte und diese ihr das Studium ermöglichte (vgl. Protokoll Anhörung F38).</w:t>
      </w:r>
    </w:p>
    <w:p>
      <w:r>
        <w:rPr>
          <w:b/>
        </w:rPr>
        <w:t>E. 9.3.7</w:t>
      </w:r>
    </w:p>
    <w:p>
      <w:r>
        <w:t>Die Vorinstanz hat sich zur gesundheitlichen Situation in ihren Stel- lungnahmen vom 3. November 2023 und 7. Februar 2024 geäussert, und das Bundesverwaltungsgericht schliesst sich diesen überzeugenden Aus- führungen an: Gemäss konstanter Gerichtspraxis sind psychische Erkran- kungen in der Türkei grundsätzlich behandelbar (vgl. etwa Urteile des BVGer E-64/2020 vom 22. Januar 2020 E. 6.3.4, E-6542/2017 vom 11. No- vember 2019 E. 5.5 und E. 11.2.2), zumal das türkische Gesundheitssys- tem grundsätzlich westeuropäische Standards aufweist. Es ist davon aus- zugehen, dass die Beschwerdeführerin für den Fall künftig weiterhin not- wendiger psychotherapeutischer Betreuung solche wie auch die entspre- chenden Medikamente in der Türkei erhalten kann. Sodann lassen sich den Akten, den oben erwähnten familiären Beziehungen und den ärztlichen Unterlagen keine Hinweise dafür entnehmen, dass die Beschwerdeführerin</w:t>
      </w:r>
    </w:p>
    <w:p>
      <w:r>
        <w:t>E-4483/2023 Seite 19 bei einer Rückkehr in die Türkei in eine medizinische Notlage im Sinn der vorstehend dargelegten Rechtsprechung geraten würde.</w:t>
      </w:r>
    </w:p>
    <w:p>
      <w:r>
        <w:rPr>
          <w:b/>
        </w:rPr>
        <w:t>E. 9.3.8</w:t>
      </w:r>
    </w:p>
    <w:p>
      <w:r>
        <w:t>Soweit im Arztbericht vom 22. Februar 2024 festgehalten wird, es be- dürfe mindestens 12 Monate, bis die therapeutische Arbeit ihre positive Wirkung zeige, ist festzuhalten, dass die Beschwerdeführerin offenbar erst- mals vor rund zwei Jahren medizinische Hilfe in Anspruch nahm; die The- rapie bei ihrem Psychologen begann vor mehr als einem Jahr.</w:t>
      </w:r>
    </w:p>
    <w:p>
      <w:r>
        <w:rPr>
          <w:b/>
        </w:rPr>
        <w:t>E. 9.3.9</w:t>
      </w:r>
    </w:p>
    <w:p>
      <w:r>
        <w:t>Einer allfälligen Dekompensation im Zusammenhang mit dem bevor- stehenden Vollzug der Wegweisung könnte – wie vom SEM zutreffend fest- gestellt – mit geeigneter Betreuung im Zeitraum der Rückführung begegnet werden. Über die Transportfähigkeit werden die Vollzugsbehörden im ge- gebenen Zeitpunkt befinden. Schliesslich steht es der Beschwerdeführerin offen, medizinische Rückkehrhilfe in Anspruch zu nehmen (Art. 75 der Asylverordnung 2 vom 11. August 1999 [AsylV 2, SR 142.312]).</w:t>
      </w:r>
    </w:p>
    <w:p>
      <w:r>
        <w:rPr>
          <w:b/>
        </w:rPr>
        <w:t>E. 9.3.10</w:t>
      </w:r>
    </w:p>
    <w:p>
      <w:r>
        <w:t>Nach dem Gesagten ist nicht davon auszugehen, die Beschwerde- führerin würde bei einer Rückkehr ins Heimatland dort aus wirtschaftlichen, sozialen oder gesundheitlichen Gründen in eine existenzbedrohende Situ- ation geraten. Der Wegweisungsvollzug ist daher als zumutbar zu qualifi- zieren.</w:t>
      </w:r>
    </w:p>
    <w:p>
      <w:r>
        <w:rPr>
          <w:b/>
        </w:rPr>
        <w:t>E. 9.4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 zumal die Beschwerdeführerin über eine gül- tige türkische Identitätskarte verfügt (vgl. SEM-Akten A9).</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 Beschwerde- führerin aufzuerlegen (Art. 63 Abs. 1 VwVG) und auf insgesamt Fr. 750.– festzusetzen (Art. 1–3 des Reglements vom 21. Februar 2008 über die</w:t>
      </w:r>
    </w:p>
    <w:p>
      <w:r>
        <w:t>E-4483/2023 Seite 20 Kosten und Entschädigungen vor dem Bundesverwaltungsgericht [VGKE, SR 173.320.2]). Dieser Betrag ist durch den am 7. September 2023 in glei- cher Höhe geleisteten Vorschuss gedeckt.</w:t>
      </w:r>
    </w:p>
    <w:p>
      <w:r>
        <w:t>E-4483/2023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