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E-4475/2017 vom 13. September 2017</w:t>
      </w:r>
    </w:p>
    <w:p>
      <w:r>
        <w:t>Bundesverwaltungsgericht, 2017-09-13, DE</w:t>
      </w:r>
    </w:p>
    <w:p>
      <w:r>
        <w:rPr>
          <w:b/>
        </w:rPr>
        <w:t xml:space="preserve">Quelle: </w:t>
      </w:r>
      <w:r>
        <w:t>https://mcp.opencaselaw.ch/entscheid/bvger_E-4475_2017</w:t>
      </w:r>
    </w:p>
    <w:p>
      <w:r>
        <w:t>FR: TAF E-4475/2017 du 13 septembre 2017</w:t>
      </w:r>
    </w:p>
    <w:p>
      <w:r>
        <w:t>IT: TAF E-4475/2017 del 13 settembre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w:t>
      </w:r>
    </w:p>
    <w:p>
      <w:r>
        <w:t>Gemäss Art. 6 AsylG in Verbindung mit Art. 12 VwVG stellt die Asylbehörde den Sachverhalt von Amtes wegen fest. "Unrichtig" ist die Sachverhaltsfeststellung beispielsweise dann, wenn der Verfügung ein aktenwidriger oder nicht weiter belegbarer Sachverhalt zugrunde gelegt wurde. "Unvollständig" ist die Sachverhaltsfeststellung beispielsweise dann, wenn die Behörde nicht alle für den Entscheid wesentlichen Sachumstände berücksichtigt hat (vgl. dazu Benjamin Schindler, Art. 49, in: Christoph Auer/Markus Müller, Benjamin Schindler, VwVG, Kommentar zum Bundesgesetz über das Verwaltungsverfahren, Zürich/St. Gallen 2008, Rz. 28, S. 676 f.). Ihre Grenze findet die Untersuchungspflicht in der Mitwirkungspflicht des Asylsuchenden (vgl. Art. 8 AsylG).</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w:t>
      </w:r>
    </w:p>
    <w:p>
      <w:r>
        <w:rPr>
          <w:b/>
        </w:rPr>
        <w:t>E. 4.2</w:t>
      </w:r>
    </w:p>
    <w:p>
      <w:r>
        <w:t>Mit Grundsatzurteil D-3175/2016 vom 17. August 2017 (zur Publikation vorgesehen) stellte das Bundesverwaltungsgericht unter Vorbehalt besonderer Umstände fest, dass sich in der Schweiz aufhaltende anspruchsberechtigte Angehörige eines Flüchtlings gestützt auf Art. 51 Abs. 1 AsylG auch dann als Flüchtlinge anerkannt werden und Asyl erhalten, wenn vor deren Einreise in die Schweiz keine Familiengemeinschaft bestanden hat, die durch die Flucht des Flüchtlings getrennt worden ist. Befinden sich die in Art. 51 Abs. 1 AsylG genannten Angehörigen des in der Schweiz anerkannten Flüchtlings hingegen im Ausland, so ist ihnen grundsätzlich gestützt auf Art. 51 Abs. 4 AsylG die Einreise auf Gesuch hin weiterhin nur dann zu bewilligen, wenn eine Familiengemeinschaft bestanden hat, welche durch die Flucht des Flüchtlings getrennt wurde (Urteil E. 4.4).</w:t>
      </w:r>
    </w:p>
    <w:p>
      <w:r>
        <w:rPr>
          <w:b/>
        </w:rPr>
        <w:t>E. 4.3</w:t>
      </w:r>
    </w:p>
    <w:p>
      <w:r>
        <w:t>Die Vorinstanz stützt sich bei ihrer Begründung auf Urteile des Bundesverwaltungsgerichts, die vor dem oben genannten Grundsatzurteil ergingen und weist das Gesuch um Einbezug in das Asyl des Beschwerdeführers beziehungsweise Vaters mit der Begründung ab, es habe vorliegend keine Familiengemeinschaft vor der Flucht bestanden (zum Sachverhalt siehe oben insb. Bst. B). Vor dem Hintergrund des neuen Urteils und der Tatsache, dass sich im vorliegenden Fall die möglicherweise Anspruchsberechtigten bereits in der Schweiz befinden, benötigt der Sachverhalt weiterer Abklärungen. So ist insbesondere das Kindsverhältnis beziehungsweise die Vaterschaft bislang nicht erstellt. Erst wenn diese bejaht werden kann, wäre der Sohn des Beschwerdeführers in den Status des Vaters miteinzubeziehen.</w:t>
      </w:r>
    </w:p>
    <w:p>
      <w:r>
        <w:rPr>
          <w:b/>
        </w:rPr>
        <w:t>E. 4.4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4.5</w:t>
      </w:r>
    </w:p>
    <w:p>
      <w:r>
        <w:t>Im vorliegenden Fall ist die Sache an das SEM zurückzuweisen, zumal die Erstellung des Sachverhalts bezüglich des Familien- und insbesondere Kindsverhältnisses weiterer Abklärungen bedarf.</w:t>
      </w:r>
    </w:p>
    <w:p>
      <w:r>
        <w:rPr>
          <w:b/>
        </w:rPr>
        <w:t>E. 5</w:t>
      </w:r>
    </w:p>
    <w:p>
      <w:r>
        <w:t>Die Beschwerde ist gutzuheissen und die vorinstanzliche Verfügung vom 12. Juli 2017 in Anwendung von Art. 61 Abs. 1 in fine VwVG zur vollständigen und richtigen Sachverhaltsermittlung und Neubeurteilung im Sinne der Erwägungen an die Vorinstanz zurückzuweisen. Der Antrag, der Sohn sei in das Asyl des Beschwerdeführers einzubeziehen, ist mithin gegenstandslos geworden.</w:t>
      </w:r>
    </w:p>
    <w:p>
      <w:r>
        <w:rPr>
          <w:b/>
        </w:rPr>
        <w:t>E. 6.1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300.-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