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E-4474/2015 vom 8. Dezember 2016</w:t>
      </w:r>
    </w:p>
    <w:p>
      <w:r>
        <w:t>Bundesverwaltungsgericht, 2016-12-08, FR</w:t>
      </w:r>
    </w:p>
    <w:p>
      <w:r>
        <w:rPr>
          <w:b/>
        </w:rPr>
        <w:t xml:space="preserve">Quelle: </w:t>
      </w:r>
      <w:r>
        <w:t>https://mcp.opencaselaw.ch/entscheid/bvger_E-4474_2015</w:t>
      </w:r>
    </w:p>
    <w:p>
      <w:r>
        <w:t>FR: TAF E-4474/2015 du 8 décembre 2016</w:t>
      </w:r>
    </w:p>
    <w:p>
      <w:r>
        <w:t>IT: TAF E-4474/2015 del 8 dicembre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Les recourants ont qualité pour recourir (cf. art. 48 al. 1 PA). Interjeté dans la forme (cf. art. 52 al. 1 PA) et le délai (cf. art. 108 al. 2 LAsi) prescrits par la loi, le recours est recevable.</w:t>
      </w:r>
    </w:p>
    <w:p>
      <w:r>
        <w:rPr>
          <w:b/>
        </w:rPr>
        <w:t>E. 2.1</w:t>
      </w:r>
    </w:p>
    <w:p>
      <w:r>
        <w:t>Dans un recours contre une décision de non-entrée en matière fondée sur la LAsi,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2015/9 consid. 8.2.2 et consid. 5.4 [non publié] ; 2014/26 consid. 5.6).</w:t>
      </w:r>
    </w:p>
    <w:p>
      <w:r>
        <w:rPr>
          <w:b/>
        </w:rPr>
        <w:t>E. 2.2</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ATF 122 V 157 consid. 1a, 121 V 204 consid. 6c; Jurisprudence des autorités administratives de la Confédération [JAAC] 61.31 consid. 3.2.2; Moser/Beusch/ Kneubühler, Prozessieren vor dem Bundesverwaltungsgericht, 2ème éd., 2013, no 1.55, p. 25; Kölz/Häner/Bertschi,Verwaltungsverfahren und Verwaltungsrechtspflege des Bundes, 3ème éd., 2013, no 1136, p. 398; voir aussi Clémence Grisel, L'obligation de collaborer des parties en procédure administrative, 2008, p. 57, 76 et 82s.).</w:t>
      </w:r>
    </w:p>
    <w:p>
      <w:r>
        <w:rPr>
          <w:b/>
        </w:rPr>
        <w:t>E. 2.3</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2007/37 consid. 2.3).</w:t>
      </w:r>
    </w:p>
    <w:p>
      <w:r>
        <w:rPr>
          <w:b/>
        </w:rPr>
        <w:t>E. 4</w:t>
      </w:r>
    </w:p>
    <w:p>
      <w:r>
        <w:t>Comme le Tribunal a déjà eu l'occasion d'en juger, il est notoire que la Hongrie a fait face à une importante pression migratoire au cours de l'année 2015 et qu'elle a procédé à plusieurs changements législatifs ayant rendu tant plus stricte la procédure d'asile que plus difficiles les conditions d'accueil (cf. arrêt du Tribunal E-2540/2016 du 31 mai 2016 et réf. cit.). En particulier, les autorités hongroises peuvent refuser d'entrer en matière (inadmissibility) sur une demande de protection présentée par une personne ayant transité par la Serbie. Celle-ci est considérée par la Hongrie comme un Etat tiers sûr, nonobstant la position du HCR, qui estime que la Serbie ne respecte pas ses obligations internationales découlant de la Convention du 28 juillet 1951 relative au statut des réfugiés (cf. UNHCR, Hungary as a Country of Asylum, Observations on restrictive legal measures and subsequent practice implemented between July 2015 and March 2016, mai 2016, p. 25). La réadmission par la Serbie est régie par l'Accord entre la Communauté européenne et la République de Serbie concernant la réadmission des personnes en séjour irrégulier (JO L334/46 du 19.12.2007 ; ci-après : accord de réadmission) et son protocole d'exécution entre la Hongrie et la Serbie du 18 septembre 2007 (cf. op. cit.). L'art. 10 de l'accord de réadmission fixe le délai pour le dépôt de la demande de réadmission.</w:t>
      </w:r>
    </w:p>
    <w:p>
      <w:r>
        <w:rPr>
          <w:b/>
        </w:rPr>
        <w:t>E. 5</w:t>
      </w:r>
    </w:p>
    <w:p>
      <w:r>
        <w:t>En l'espèce, la recourante a été appréhendée, le 12 mai 2015, à Mytilène en Grèce, puis le 31 mai 2015, par la police du comitat de Csongrád (« CSMRFK » selon les résultats Eurodac, pour « Csongrád Megyei Rend r-f kapitányság »), à Szeged. Dans ces circonstances, il aurait appartenu au SEM de l'interroger sur son parcours entre Athènes et la Hongrie. A défaut, l'établissement des faits est inexact. En conséquence, le SEM n'a pas été en mesure d'examiner tous les facteurs concrets de risque sous l'angle de l'art. 3 CEDH, en particulier celui d'un refoulement vers la Serbie, et d'un refoulement en chaîne vers la Grèce (cf. arrêt du Tribunal E-2093/2012 consid. 6.3.3.2 et 8). Par conséquent, il appartiendra au SEM de procéder à une nouvelle audition de la recourante pour déterminer quel a été précisément son parcours migratoire avec son enfant. Dans l'hypothèse où un transit vers la Serbie devrait être allégué et rendu vraisemblable, il appartiendrait encore au SEM de demander à l'Unité Dublin hongroise de lui communiquer des informations quant à la pratique administrative des autorités hongroises concernant la mise en oeuvre de l'accord de réadmission précité, en particulier leur interprétation de l'article 10, s'agissant des requérants d'asile présents sur le territoire helvétique dont ladite unité Dublin a accepté la reprise en charge et dont l'appréhension par les autorités hongroises à l'occasion du franchissement irrégulier de la frontière avec la Serbie (frontière extérieure à l'espace Schengen) remonte désormais à plus d'une année selon les résultats Eurodac. Certes, la Hongrie n'a pas l'obligation de communiquer ces informations (cf. Cour de justice de l'Union européenne, arrêt du 17 mars 2016 dans l'affaire C-695/15 Shiraz Baig Mirza contre Bevándorlási és Állampolgársági Hivatal). Dans l'hypothèse où elle refuserait de les communiquer ou opposerait son silence à une requête d'informations du SEM, il appartiendrait toutefois à celui-ci d'apprécier la réalité d'un risque de refoulement par la Hongrie de la recourante et de son enfant vers la Serbie et (en chaîne) vers la Grèce, selon les informations à sa disposition provenant de sources fiables et objectives. Il s'agira ensuite pour le SEM de rendre une nouvelle décision de transfert dûment motivée ou d'examiner la demande d'asile en procédure nationale. Il lui est loisible d'admettre la responsabilité de la Suisse sans procéder aux compléments d'instruction susmentionnés.</w:t>
      </w:r>
    </w:p>
    <w:p>
      <w:r>
        <w:rPr>
          <w:b/>
        </w:rPr>
        <w:t>E. 6</w:t>
      </w:r>
    </w:p>
    <w:p>
      <w:r>
        <w:t>Au vu de ce qui précède, le recours est admis, la décision attaquée annulée pour établissement inexact de l'état de fait pertinent, et la cause renvoyée au SEM pour complément d'instruction et nouvelle décision au sens des considérants.</w:t>
      </w:r>
    </w:p>
    <w:p>
      <w:r>
        <w:rPr>
          <w:b/>
        </w:rPr>
        <w:t>E. 7</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 Il y a lieu d'allouer des dépens pour les frais nécessaires causés par le litige (cf. art. 64 al. 1 PA et art. 7 al. 1 du règlement du 21 février 2008 concernant les frais, dépens et indemnités fixés par le Tribunal administratif fédéral [FITAF, RS 173.320.2]). Ils sont fixés à 550 francs, compte tenu en particulier du décompte de prestations du 20 juillet 2015 et des démarches ultérieures du mandataire liées à la preuve de l'indigence, à charge du SEM (cf. art. 14 FITAF). Au vu de ce qui précède, la demande d'assistance judiciaire totale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