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E-4467/2020 vom 12. November 2020</w:t>
      </w:r>
    </w:p>
    <w:p>
      <w:r>
        <w:t>Bundesverwaltungsgericht, 2020-11-12, DE</w:t>
      </w:r>
    </w:p>
    <w:p>
      <w:r>
        <w:rPr>
          <w:b/>
        </w:rPr>
        <w:t xml:space="preserve">Quelle: </w:t>
      </w:r>
      <w:r>
        <w:t>https://mcp.opencaselaw.ch/entscheid/bvger_E-4467_2020</w:t>
      </w:r>
    </w:p>
    <w:p>
      <w:r>
        <w:t>FR: TAF E-4467/2020 du 12 novembre 2020</w:t>
      </w:r>
    </w:p>
    <w:p>
      <w:r>
        <w:t>IT: TAF E-4467/2020 del 12 novembre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Mit Beschwerde an das Bundesverwaltungsgericht können gemäss dieser Bestimmung die Verletzung von Bundesrecht, einschliesslich Missbrauch und Überschreitung des Ermessens, sowie die unrichtige und unvollständige Feststellung des rechtserheblichen Sachverhalts gerügt werden.</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Der in Art. 29 Abs. 2 BV garantierte und in den Art. 26-33 VwVG konkretisierte Grundsatz des rechtlichen Gehörs umfasst das Recht, mit eigenen Begehren angehört zu werden, Einblick in die Akten zu erhalten und zu den für die Entscheidung wesentlichen Punkten Stellung nehmen zu können. Der Anspruch auf rechtliches Gehör dient einerseits der Sachaufklärung und stellt anderseits ein persönlichkeitsbezogenes Mitwirkungsrecht der Parteien dar. Der Grundsatz des rechtlichen Gehörs beinhaltet, dass die Vorbringen des vom Entscheid in seiner Rechtsstellung Betroffenen sorgfältig sowie ernsthaft geprüft und in der Entscheidfindung berücksichtigt werden (Art. 32 Abs. 1 VwVG). Zudem müssen die angebotenen Beweismittel abgenommen werden, wenn sie zur Abklärung des Sachverhalts tauglich erscheinen (Art. 33 Abs. 1 VwVG). Daraus folgt die grundsätzliche Pflicht der Behörden, sich mit den wesentlichen Vorbringen des Rechtssuchenden zu befassen und Entscheide zu begründen (Art. 35 Abs. 1 VwVG). Die Begründung eines Entscheides muss so abgefasst sein, dass der Betroffene ihn sachgerecht anfechten kann. In diesem Sinne müssen wenigstens kurz die Überlegungen genannt werden, die für den Entscheid bedeutsam sind (vgl. BVGE 2009/35 E. 6.4.1 m.w.H.). Gemäss Art. 12 VwVG stellt die Behörde den Sachverhalt von Amtes wegen fest und bedient sich nötigenfalls der unter dieser Norm aufgelisteten Beweismittel. Die unrichtige oder unvollständige Feststellung des rechtserheblichen Sachverhalts in Verletzung der Untersuchungspflicht bildet einen Beschwerdegrund (Art. 106 Abs. 1 Bst. b AsylG). Unrichtig ist die Sachverhaltsfeststellung, wenn der Verfügung ein falscher und aktenwidriger Sachverhalt zugrunde gelegt wird; unvollständig ist sie, wenn nicht alle für den Entscheid rechtswesentlichen Sachumstände berücksichtigt werden (vgl. KÖLZ/HÄNER/BERTSCHI, Verwaltungsverfahren und Verwaltungsrechtspflege des Bundes, 3. Aufl. 2013, Rz. 1043).</w:t>
      </w:r>
    </w:p>
    <w:p>
      <w:r>
        <w:rPr>
          <w:b/>
        </w:rPr>
        <w:t>E. 4.2</w:t>
      </w:r>
    </w:p>
    <w:p>
      <w:r>
        <w:t>Vorliegend ergibt sich, dass der Beschwerdeführer bei der Anhörung vom 9. April 2020 ein Beweismittel einreichte (Fotokopie eines Briefes der Taliban an ihn). Der Übersetzung des Dolmetschers kann entnommen werden, dass er vom militärischen Taliban-Verantwortlichen der Provinz J._______ darüber informiert wird, dass durch seine Meldung bei den afghanischen Behörden Taliban-Mitglieder getötet worden seien. Er müsse sich auf dem Stützpunkt melden, um seine Unschuld zu beweisen. Wenn er dies nicht tue, werde er erwischt und streng bestraft. Es sei besser, wenn er selber komme, um sich zu erklären. Dazu wurde im Anhörungsprotokoll der Vermerk angebracht, das Beweismittel werde zu den Akten genommen (vgl. act. 17/19 F164). Eine Durchsicht des Aktenverzeichnisses ergibt indessen, dass dieses Beweismittel keinen Eingang in die Akten gefunden hat. In der angefochtenen Verfügung wird der eingereichte Brief der Taliban an den Beschwerdeführer weder erwähnt noch findet eine Auseinandersetzung mit diesem Beweismittel statt. Zudem wird im Sachverhalt offensichtlich tatsachenwidrig ausgeführt, der Beschwerdeführer habe keine Dokumente oder Beweismittel zu den Akten gereicht. Damit hat das SEM das zur Abklärung des Sachverhalts eingereichte und nicht von vornherein untauglich erscheinende Beweismittel nicht abgenommen.</w:t>
      </w:r>
    </w:p>
    <w:p>
      <w:r>
        <w:rPr>
          <w:b/>
        </w:rPr>
        <w:t>E. 4.3</w:t>
      </w:r>
    </w:p>
    <w:p>
      <w:r>
        <w:t>Zusammenfassend ist festzustellen, dass die Vorinstanz dadurch, dass sie den Brief der Taliban an den Beschwerdeführer als grundsätzlich tauglich erscheinendes Beweismittel nicht abgenommen hat, ein für den Entscheid relevantes Sachverhaltselement in ihrer Verfügung nicht berücksichtigt hat. Der Sachverhalt ist somit unvollständig respektive unrichtig festgestellt worden. Gleichzeitig hat das SEM das rechtliche Gehör des Beschwerdeführers verletzt.</w:t>
      </w:r>
    </w:p>
    <w:p>
      <w:r>
        <w:rPr>
          <w:b/>
        </w:rPr>
        <w:t>E. 5.1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Einer Kassation und Rückweisung kommt unter Umständen auch die Funktion zu, die Vorinstanz auf ihre verfahrensrechtlichen Pflichten aufmerksam zu machen (vgl. BVGE 2012/21 E. 5).</w:t>
      </w:r>
    </w:p>
    <w:p>
      <w:r>
        <w:rPr>
          <w:b/>
        </w:rPr>
        <w:t>E. 5.2</w:t>
      </w:r>
    </w:p>
    <w:p>
      <w:r>
        <w:t>Es kann nicht Aufgabe des Gerichts sein, das vom SEM nicht abgenommene Beweismittel zu prüfen und eine solch grundlegende Frage zum Sachverhalt als erste Instanz zu klären. Darüber hinaus fällt ins Gewicht, dass die Partei eine Instanz verlöre, wenn das Gericht die Grundlagen des rechtserheblichen Sachverhalts nicht nur ergänzen, sondern gleichsam wie eine erste Instanz erheben würde. Das Bundesverwaltungsgericht hat demnach von eigenen Sachverhaltsfeststellungen, die über eine blosse Ergänzung und Erwahrung des rechtserheblichen Sachverhalts hinausreichen, abzusehen (BVGE 2012/21 E. 5; ferner Urteile des Bundesverwaltungsgerichts E-1511/2018 vom 1. Mai 2018 E. 4.2, E-4220/2015 vom 7. Dezember 2017 E. 6.2 und E-1254/2015 E. 5.2 vom 9. November 2017). Die Vorinstanz wird deshalb angewiesen, das vom Beschwerdeführer bei der Anhörung vom 9. April 2020 eingereichte Beweismittel zu prüfen und gestützt darauf erneut zu entscheiden. Das Ergebnis dieser Prüfung hat sie in ihrem Entscheid festzuhalten.</w:t>
      </w:r>
    </w:p>
    <w:p>
      <w:r>
        <w:rPr>
          <w:b/>
        </w:rPr>
        <w:t>E. 6.1</w:t>
      </w:r>
    </w:p>
    <w:p>
      <w:r>
        <w:t>Nach dem Gesagten ist die Beschwerde im Sinne der Erwägungen gutzuheissen. Die Verfügung vom 7. August 2020 ist aufzuheben und die Sache zur vollständigen sowie richtigen Feststellung des Sachverhaltes, zur anschliessenden Neubeurteilung und zu neuem Entscheid an das SEM zurückzuweisen.</w:t>
      </w:r>
    </w:p>
    <w:p>
      <w:r>
        <w:rPr>
          <w:b/>
        </w:rPr>
        <w:t>E. 6.2</w:t>
      </w:r>
    </w:p>
    <w:p>
      <w:r>
        <w:t>Angesichts der Rückweisung der Sache an die Vorinstanz erübrigt es sich, auf die Ausführungen in der Beschwerde einzugehen, weil sie ebenfalls Gegenstand des wiederaufzunehmenden erstinstanzlichen Verfahrens sein werden und die Vorinstanz sich damit zu befassen haben wird.</w:t>
      </w:r>
    </w:p>
    <w:p>
      <w:r>
        <w:rPr>
          <w:b/>
        </w:rPr>
        <w:t>E. 7</w:t>
      </w:r>
    </w:p>
    <w:p>
      <w:r>
        <w:t>Mit vorliegendem Urteil wird der Antrag auf Verzicht auf die Erhebung eines Kostenvorschusses hinfällig.</w:t>
      </w:r>
    </w:p>
    <w:p>
      <w:r>
        <w:rPr>
          <w:b/>
        </w:rPr>
        <w:t>E. 8.1</w:t>
      </w:r>
    </w:p>
    <w:p>
      <w:r>
        <w:t>Bei diesem Ausgang des Verfahrens sind keine Kosten zu erheben (Art. 63 Abs. 1 und 2 VwVG), womit der Antrag auf Gewährung der unentgeltlichen Rechtspflege im Sinne von Art. 65 Abs. 1 VwVG gegenstandslos wird.</w:t>
      </w:r>
    </w:p>
    <w:p>
      <w:r>
        <w:rPr>
          <w:b/>
        </w:rPr>
        <w:t>E. 8.2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Antrag auf amtliche Rechtsverbeiständung im Sinne von Art. 102m Abs. 1 AsylG wird somit hinfällig. Der in der Kostennote vom 9. September 2020 geltend gemachte zeitliche Aufwand von acht Stunden zu einem Stundenansatz von Fr. 200.- ist um 0.25 Stunden zu kürzen, zumal es sich beim Erstellen der Honorarnote um nicht gesondert zu entschädigende Kanzleiarbeit handelt. Spesen sind gemäss Art. 11 Abs. 1 VGKE aufgrund der tatsächlichen Kosten auszuzahlen. Die geltend gemachte Spesenpauschale von Fr. 50.- ist somit nicht zu vergüten, zumal keine besonderen Verhältnisse vorliegen, die die Auszahlung eines Pauschalbetrags rechtfertigen würden (vgl. Art. 11 Abs. 3 VGKE). Da die Rechtsvertreterin nicht mehrwertsteuerpflichtig ist, ist kein Mehrwertsteuerzuschlag im Sinne von Art. 9 Abs. 1 Bst. c VGKE geschuldet. Gestützt auf die in Betracht zu ziehenden Bemessungsfaktoren (Art. 9-13 VGKE) und die Praxis in Vergleichsfällen ist dem Beschwerdeführer zulasten der Vorinstanz eine Parteientschädigung von insgesamt Fr. 1550.-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