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E-4465/2006 vom 16. Dezember 2008</w:t>
      </w:r>
    </w:p>
    <w:p>
      <w:r>
        <w:t>Bundesverwaltungsgericht, 2008-12-16, DE</w:t>
      </w:r>
    </w:p>
    <w:p>
      <w:r>
        <w:rPr>
          <w:b/>
        </w:rPr>
        <w:t xml:space="preserve">Quelle: </w:t>
      </w:r>
      <w:r>
        <w:t>https://mcp.opencaselaw.ch/entscheid/bvger_E-4465_2006</w:t>
      </w:r>
    </w:p>
    <w:p>
      <w:r>
        <w:t>FR: TAF E-4465/2006 du 16 décembre 2008</w:t>
      </w:r>
    </w:p>
    <w:p>
      <w:r>
        <w:t>IT: TAF E-4465/2006 del 16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Beschwerdeführenden sind durch die angefochtene Verfügung besonders berührt und haben ein schutzwürdiges Interesse an deren Aufhebung beziehungsweise Änderung. Die Beschwerdeführenden sind daher zur Einreichung der Beschwerde legitimiert (Art. 6 AsylG i.V.m. Art. 48 Abs. 1 und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in seiner ablehnenden Verfügung im Ergebnis fest, dass die Vorbringen des Beschwerdeführers den Anforderungen an die Glaubhaftigkeit gemäss Art. 7 AsylG nicht zu genügen vermöchten, da jene widersprüchlich und nicht nachvollziehbar ausgefallen seien. Somit könnten auch die von der Beschwerdeführerin und dem Sohn dargelegten Vorbringen nicht geglaubt werden. Die beigebrachten Beweismittel würden die Darlegungen auch nicht in einem glaubhafteren Licht erscheinen lassen. So könne aus dem Totenschein und dem ärztlichen Bericht nicht zwingend auf eine asylrelevante Verfolgung geschlossen werden. Zudem könne es sich beim Schreiben der Mutter um ein Gefälligkeitsschreiben handeln. Schliesslich zeigten die Fotografien unter anderem ein verbranntes Haus. Die Brandursache könne aber ganz andere als asylrelevante Gründe haben.</w:t>
      </w:r>
    </w:p>
    <w:p>
      <w:r>
        <w:rPr>
          <w:b/>
        </w:rPr>
        <w:t>E. 4.2</w:t>
      </w:r>
    </w:p>
    <w:p>
      <w:r>
        <w:t>In der Rechtsmitteleingabe wird gerügt, der Sachverhalt sei durch die Vorinstanz unvollständig abgeklärt und das rechtliche Gehör sei verletzt worden. So sei unwahrscheinlich, dass die Ursache für das Abbrennen des Hauses andere Gründe haben könnte als Übergriffe von polizeilicher Seite, zumal die Nachbarn bestätigen würden, dass sie anlässlich des Brandes Zivilpolizisten erkannt hätten, welche in den Autos gekommen seien, die typischerweise zivile Einheiten der Polizei fahren würden. Die Sache sei daher an die Vorinstanz zurückzuweisen, welche Abklärungen über die Brandursache sowie auch die Verbrennungen des Sohnes und die Tötung des Vaters vor Ort vorzunehmen habe.</w:t>
      </w:r>
    </w:p>
    <w:p>
      <w:r>
        <w:rPr>
          <w:b/>
        </w:rPr>
        <w:t>E. 4.2.1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Der Grundsatz des rechtlichen Gehörs (Art. 29 Abs. 2 BV, Art. 29 VwVG, Art. 32 Abs. 1 VwVG) wiederum verlangt, dass die verfügende Behörde die Vorbringen des Betroffenen tatsächlich hört, sorgfältig und ernsthaft prüft und in der Entscheidfindung berücksichtigt, was sich entsprechend in der Entscheidbegründung niederschlagen muss (vgl. Art. 35 Abs. 1 VwVG sowie die weiterhin zutreffende Praxis der ARK in Entscheidungen und Mitteilungen der ARK [EMARK] 2004 Nr. 38 E. 6.3). Die Begründung soll es dem Betroffenen ermöglichen, den Entscheid gegebenenfalls sachgerecht anzufechten, was nur möglich ist, wenn sich sowohl der Betroffene als auch die Rechtsmittelinstanz über die Tragweite des Entscheides ein Bild machen können (BGE 129 I 232 E. 3.2). Dabei muss sich die verfügende Behörde nicht ausdrücklich mit jeder tatbeständlichen Behauptung und jedem rechtlichen Einwand auseinander setzen, sondern darf sich auf die wesentlichen Gesichtspunkte beschränken (BGE 126 I 97 E. 2b).</w:t>
      </w:r>
    </w:p>
    <w:p>
      <w:r>
        <w:rPr>
          <w:b/>
        </w:rPr>
        <w:t>E. 4.2.2</w:t>
      </w:r>
    </w:p>
    <w:p>
      <w:r>
        <w:t>Im vorliegenden Fall ist die Vorinstanz nach erfolgten Anhörungen der Beschwerdeführenden und Würdigung von deren eingereichten Dokumenten zum Schluss gelangt, dass der von ihnen geltend gemachte Sachverhalt aufgrund von widersprüchlichen und unlogischen Aussagen den Anforderungen an das Glaubhaftmachen im Sinne von Art. 7 AsylG nicht genügten und die zu den Akten gereichten Dokumente an dieser Einschätzung nichts zu ändern vermöchten. Die Gründe, welche sie zu dieser Schlussfolgerung kommen liessen, ergeben sich klar aus deren Begründung. Zu Recht sah sich die Vorinstanz in diesem Rahmen nicht veranlasst, weitere Abklärungen zur Sachverhaltsermittlung, insbesondere durch Vornahme vor Ort, vorzunehmen.</w:t>
      </w:r>
    </w:p>
    <w:p>
      <w:r>
        <w:rPr>
          <w:b/>
        </w:rPr>
        <w:t>E. 4.3</w:t>
      </w:r>
    </w:p>
    <w:p>
      <w:r>
        <w:t>Wie sich aus den nachfolgenden Erwägungen ergibt, kommt sodann das Bundesverwaltungsgericht zum Schluss, dass die geltend gemachten Verfolgungsvorbringen aufgrund der vorhandenen Akten als unglaubhaft zu werten sind und die weitere Rüge der Beschwerdeführenden, die Vorbringen seien zu Unrecht als unglaubhaft qualifiziert worden, als unbegründet zu werten ist:</w:t>
      </w:r>
    </w:p>
    <w:p>
      <w:r>
        <w:rPr>
          <w:b/>
        </w:rPr>
        <w:t>E. 4.3.1</w:t>
      </w:r>
    </w:p>
    <w:p>
      <w:r>
        <w:t>So ist mit der Vorinstanz vorweg zu betonen, dass die auf erstinstanzlicher Ebene eingereichen Dokumente nicht geeignet sind, eine Verfolgung von staatlicher Seite zu belegen oder die Vorbringen glaubhafter zu machen. Sowohl der Tod des Vaters als auch die Verbrennungen des Sohnes und der spätere Hausbrand können von anderen als staatlichen Institutionen initiiert worden sein. Den Dokumenten lässt sich nichts über die jeweiligen Verursacher entnehmen. Der Beschwerdeführer gibt denn auch anlässlich der ergänzenden Anhörung selbst zu Protokoll, man könne bezüglich des Brandverursachers nur Vermutungen haben (vgl. A16 S. 7). Insoweit ist nicht nachvollziehbar, weshalb in der Rechtsmitteleingabe plötzlich die Meinung vertreten wird, dass der Hausbrand von staatlicher Seite verursacht worden sei, was vor Ort zu verifizieren sei. Zudem ist dem Schreiben der Mutter in Übereinstimmung mit der Einschätzung der Vorinstanz lediglich ein Gefälligkeitswert beizumessen. Diesbezüglich ist insbesondere hervorzuheben, dass sich die Aussage der Mutter, alle Dokumente seien mit dem Hausbrand vernichtet worden (mit Ausnahme des Führerscheins, den sie jedoch aus Angst nicht in die Schweiz schicken wolle), inhaltlich nicht mit der Aussage des Beschwerdeführers anlässlich der kantonalen Anhörung deckt, wo dieser zu Protokoll gegeben hat, alle Papiere (auch der Führerschein) seien zuhause an einem Ort und sie (die Polizisten) hätten alles mitgenommen (vgl. A10 S. 5 f.), womit sie schwerlich hätten verbrannt sein können. Darüber hinaus ist die - im Widerspruch zur Behauptung an der kantonalen Anhörung stehende - Aussage des Beschwerdeführers bei der ergänzenden Anhörung, der Führerschein sei zuhause und sei vor drei bis vier Tagen hierher geschickt worden wie auch irgendwelche Papiere der Kinder und die Vorladungen (vgl. A16 S. 2) ebenfalls nicht in Einklang zu bringen mit den Angaben der Mutter, welche - wie oben erwähnt - erklärt hat, es seien alle Papiere (ausser dem Führerschein) verbrannt. In der Folge wurden auf Beschwerdeebene zwar ein Führerschein, zwei die Kinder betreffende fremdsprachige Dokumente sowie zwei Vorladungen zur Vernehmung mit Eingabe vom 10. August 2005 nachgereicht. Mit Eingabe vom 10. April 2006 wurden zwei weitere Vorladungen zur Vernehmung ins Recht gelegt. Jedoch sind auch diese Dokumente nicht geeignet, eine asylrechtlich relevante Verfolgung darzutun: Vorweg ist festzuhalten, dass die Beschwerdeführenden fehl gehen in der Annahme, dass mit den eingereichten Papieren ihre Identität und Herkunft zweifelsfrei feststehe, zumal unter dem Begriff eines Identitätspapiers nur ein amtliches Dokument mit Fotografie fällt, welches zum Zweck des Nachweises der Identität seines Inhabers ausgestellt wurde (Art. 1 Bst. c der Asylverordnung 1 vom 11. August 1999 über Verfahrensfragen [AsylV 1, SR 142.311], was bei einem Führerausweis nicht der Fall ist (vgl. BVGE 2007/7). Vielmehr drängt sich aufgrund dieser ungereimten und unlogischen Aussagen zu Identitätspapieren insgesamt der Verdacht auf, dass die Beschwerdeführenden im Besitz von Reise- und Identitätspapieren sind, welche sie auch für die Ausreise aus ihrer Heimat benutzt haben, jedoch in Missachtung ihrer Mitwirkungspflichten den Schweizer Behörden nicht aushändigen wollen, um so eine Rückweisung zu verhindern.</w:t>
      </w:r>
    </w:p>
    <w:p>
      <w:r>
        <w:rPr>
          <w:b/>
        </w:rPr>
        <w:t>E. 4.3.2</w:t>
      </w:r>
    </w:p>
    <w:p>
      <w:r>
        <w:t>Die Beschwerdeführenden unterlassen es sodann, die Versandcouverts, mit welchen sie diese Dokumente aus der Heimat erhalten haben wollen, zu den Akten zu geben. Zudem wird - ausser der Behauptung in Bezug auf die zwei ersten Vorladungen, die Schwester der Beschwerdeführerin respektive die Mutter habe sie geschickt (vgl. A16 S. 2) - auch nicht ausgeführt, wann und durch wen sie diese erhalten hätten. Auffällig ist sodann, dass die Beschwerdeführenden anlässlich der Einreichung der Dokumente in ihrem Schreiben vom 8. Oktober 2004 im erstinstanzlichen Verfahren angaben, es seien "alle noch vorhandenen Beweismittel (z.B. Vorladungen) zerstört worden" (vgl. A15). Es ist daher unverständlich und es hätte mindestens einer entsprechenden Erklärung bedurft, woher plötzlich die zwei ersten Vorladungen stammen, gemäss welchen der Beschwerdeführer am 26. Februar 2002 und am 1. März 2002 in der Untersuchungsabteilung beim Amt für innere Angelegenheiten der Stadt E._______ zu erscheinen habe. Wenig plausibel ist des Weiteren auch, dass der Beschwerdeführer offenbar erst nach dreijähriger Pause wieder vorgeladen worden sein soll, wie sich aus den zwei weiteren Vorladungen entnehmen lässt, gemäss welchen er sich am 20. Juli und am 11. August 2005 wieder in derselben Untersuchungsabteilung hätte melden sollen. Jedenfalls wird nicht erklärt, weshalb er aus der Zeit zwischen den ersten zwei und den zwei letzten keine Vorladungen hat einreichen können. Und es scheint wenig nachvollziehbar, dass die Behörden den Beschwerdeführer nach dreijähriger Pause plötzlich wieder suchen sollten. Es bestehen nach dem Gesagten Zweifel an der Authentizität der eingereichten Vorladungen. In diesem Zusammenhang fällt zudem auf, dass die Beschwerdeführenden zu den Vorladungen inkohärente Aussagen machten. So gab die Beschwerdeführerin anlässlich der kantonalen Anhörung zu Protokoll, sie wisse nur, dass zwei Vorladungen zu ihrer Schwiegermutter gekommen seien, die erste sei drei bis vier Wochen nach dem 4. Dezember 2001 gekommen. Daraufhin gab sie an, im Jahre 2002 wie auch im Jahre 2003 seien mehrere Vorladungen gekommen, welche sich nun bei der Schwiegermutter befänden, um kurz darauf zu behaupten, es habe drei Vorladungen gegeben, eine 2 bis 3 Wochen nach dem 4. Dezember 2001 und je eine in den Jahren 2002 und 2003 (vgl. A11 S. 14). Diesbezüglich gab der Beschwerdeführer an, es seien zwei Vorladungen gekommen, die erste etwa 40 Tage nach dem 4. Dezember 2001 und die zweite etwa eineinhalb bis zwei Monate später (vgl. A10 S. 15). Diese unterschiedlichen Aussagen über Anzahl und Zeitpunkt des Erhalts der Vorladungen lassen sich offensichtlich nicht miteinander vereinbaren und verstärken die Zweifel an den geltend gemachten Verfolgungsgründen zusätzlich. Abgesehen davon geht aus jenen auch nicht hervor, aus welchem Grund der Beschwerdeführer bei den Behörden hätte vorstellig werden müssen, mithin wäre auch unter Annahme der Echtheit dieser Dokumente keine staatliche Verfolgungsabsicht belegt. Des Weiteren sind an der Glaubwürdigkeit der Beschwerdeführenden grundsätzlich Zweifel anzubringen, zumal sie offensichtlich in Verletzung der Pflicht zu wahrheitsgemässen Aussagen den daktyloskopisch feststehenden Deutschlandaufenthalt vom (...) 2001 bis zum (...) 2004 sowie das dort durchlaufene Asylverfahren, welches am (...) negativ geendet hat, verheimlicht und diesen erst auf entsprechenden Vorhalt der ARK in ihrer Stellungnahme vom 14. September 2005 eingestanden haben. Darin wird ausgeführt, die Beschwerdeführenden hätten in Deutschland aus denselben Gründen wie in der Schweiz um Asyl nachgesucht. Die in der Schweiz geltend gemachten Vorbringen entsprächen bis auf die Flucht in das Bergdorf der Wahrheit. Anstatt im besagten Dorf hätten sie sich jedoch in Deutschland aufgehalten. Wenn die Beschwerdeführenden aber in Deutschland dieselben Asylgründe geltend gemacht haben, ist nicht einsehbar, weshalb sie dann die im vorliegenden Verfahren eingereichten Dokumente, insbesondere die zuerst eingereichten Vorladungen nicht bereits für das Verfahren in Deutschland beschafft und dort eingereicht haben. Darüber hinaus geht das Bundesverwaltungsgericht mit der Vorinstanz einig, dass sich der Beschwerdeführer in Bezug auf den eigentlichen Grund der angeblichen nachfolgenden Verfolgungsmassnahmen widersprüchlich geäussert hat, indem er bei der Erstbefragung erklärte, er habe viele tschetschenische Kunden gehabt, welche er von E._______ nach F._______ gefahren habe und welche immer grosse Gepäckstücke bei sich getragen hätten (vgl. A2 S. 4), um anlässlich der kantonalen Anhörung zu Protokoll zu geben, zwei junge Männer hätten ihn gebeten, sie jeweilen zu chauffieren (vgl. A10 S. 8), es seien nur immer diese beiden jungen Tschetschenen gewesen (vgl. A10 S. 11 und 13). Der Erklärungsversuch in der Beschwerde, der Beschwerdeführer habe viele tschetschenische Kunden, welche nur einmal oder unregelmässig mit ihm gefahren seien, aber nur zwei Männer, die ihn regelmässig mit Transportleistungen beauftragt hätten, muss als Schutzbehauptung, mithin als Versuch, unterschiedliche Aussagen nachträglich einander anzugleichen, gewertet werden und vermag nicht zu überzeugen, zumal er zuerst protokollieren liess, viele Tschetschenen mit grossen Gepäckstücken von E._______ nach F._______ gefahren zu haben, welche Aussage keinen Interpretationsspielraum zulässt. Auch die weiteren Ausführungen auf Beschwerdeebene sind nicht geeignet, an den Schlussfolgerungen etwas zu ändern. Insbesondere kann die Rüge nicht gehört werden, dass das Gebot des "Fair Trial" verletzt worden sei, indem dem Beschwerdeführer keine Frist gesetzt worden sei für die Beibringung des Führerscheins. Die Beschwerdeführenden sind im Rahmen ihrer Mitwirkungspflichten (vgl. Art. 8 Abs. 1 AsylG) gehalten gewesen, sämtliche der Sache dienenden Beweismittel, so auch ihre Identität belegende Dokumente beizubringen, wozu sie im Rahmen des Asylverfahrens auch aufgefordert wurden. Darüber hinaus ändert der schliesslich im Beschwerdeverfahren nachgereichte Führerschein nichts an der Tatsache, dass die geltend gemachten Asylvorbringen als unglaubhaft erachtet werden müssen, wie sich aus den obigen Erwägungen ergibt.</w:t>
      </w:r>
    </w:p>
    <w:p>
      <w:r>
        <w:rPr>
          <w:b/>
        </w:rPr>
        <w:t>E. 4.4</w:t>
      </w:r>
    </w:p>
    <w:p>
      <w:r>
        <w:t>Zusammenfassend folgt, dass die Beschwerdeführenden keine Gründe nach Art. 3 AsylG nachweisen oder glaubhaft machen können. Das BFM hat ihre Asylgesuche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Der Wegweisungsvollzug erscheint mit Blick auf die allgemeine politische und wirtschaftliche Lage in Russland sowie unter Berücksichtigung der persönlichen Situation der Beschwerdeführenden im Sinne von Art. 83 Abs. 4 AuG als zumutbar. Eine Situation, welche die Beschwerdeführenden als "Gewalt- oder De-facto-Flüchtlinge" qualifizieren würde, liesse sich nach dem oben Gesagten in Russland nicht bejahen. Sodann genügen blosse soziale und wirtschaftliche Schwierigkeiten, von denen die ansässige Bevölkerung im Allgemeinen betroffen ist, nicht, um eine Gefährdung im Sinne von Art. 83 Abs. 4 AuG darzustellen (vgl. die weiterhin zutreffende Praxis der ARK in: EMARK 1996 Nr. 2 S. 12 f. und 1994 Nr. 19 E. 6b S. 148 f.). Überdies leben die Eltern der Beschwerdeführerin und auch die Mutter des Beschwerdeführers in (...), so dass die Beschwerdeführenden dort über ein Beziehungsnetz verfügen. Zudem (...). Des Weiteren sind auch keine gesundheitlichen Probleme aktenkundig, welche gegen einen Wegweisungsvollzug der Beschwerdeführenden sprechen könnten.</w:t>
      </w:r>
    </w:p>
    <w:p>
      <w:r>
        <w:rPr>
          <w:b/>
        </w:rPr>
        <w:t>E. 6.4.2</w:t>
      </w:r>
    </w:p>
    <w:p>
      <w:r>
        <w:t>Anzumerken bleibt, dass bei der Beurteilung der Zumutbarkeit des Wegweisungsvollzugs der Aspekt des Kindeswohls zu berücksichtigen ist (vgl. Übereinkommen vom 20. November 1989 über die Rechte des Kindes [KRK, SR 0.107]). Gemäss EMARK 2005 Nr. 6 können erschwerte Reintegrationsmöglichkeiten im Heimatstaat infolge einer fortgeschrittenen Assimilierung des Kindes in der Schweiz zur Feststellung der Unzumutbarkeit des Wegweisungsvollzugs der ganzen Familie führen. Vorliegend ist festzustellen, dass der ältere Sohn der Beschwerdeführenden zwischenzeitlich volljährig geworden ist, mithin von der KRK nicht mehr mitumfasst ist. Das Bundesverwaltungsgericht verkennt nicht, dass der jüngere, (...) Sohn bereits seit mehreren Jahren in Deutschland und in der Schweiz lebt und wahrscheinlich hier auch die Schule besucht. Es ist aber auch zu berücksichtigen, dass er die ersten (...) Jahre seines Lebens in Russland verbracht hat, welcher Umstand für die Reintegration in seinem Heimatland förderlich sein wird und zudem seine Familie wohl noch immer sein wichtigstes Beziehungsumfeld darstellt. Insgesamt ist im Rahmen einer gesamtheitlichen Beurteilung nicht von einer fortgeschrittenen Assimilierung des jüngeren Sohnes in der Schweiz auszugehen, welche zu übermässig grossen Reintegrationsproblemen im Heimatstaat führt. Somit erweist sich der Vollzug der Wegweisung auch unter dem Aspekt des Kindeswohls als zumutbar.</w:t>
      </w:r>
    </w:p>
    <w:p>
      <w:r>
        <w:rPr>
          <w:b/>
        </w:rPr>
        <w:t>E. 6.5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und mit dem am 17. August 2005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