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E-4463/2009 vom 24. Februar 2011</w:t>
      </w:r>
    </w:p>
    <w:p>
      <w:r>
        <w:t>Bundesverwaltungsgericht, 2011-02-24, FR</w:t>
      </w:r>
    </w:p>
    <w:p>
      <w:r>
        <w:rPr>
          <w:b/>
        </w:rPr>
        <w:t xml:space="preserve">Quelle: </w:t>
      </w:r>
      <w:r>
        <w:t>https://mcp.opencaselaw.ch/entscheid/bvger_E-4463_2009</w:t>
      </w:r>
    </w:p>
    <w:p>
      <w:r>
        <w:t>FR: TAF E-4463/2009 du 24 février 2011</w:t>
      </w:r>
    </w:p>
    <w:p>
      <w:r>
        <w:t>IT: TAF E-4463/2009 del 24 febbraio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règle générale, compte tenu du principe de subsidiarité de la protection internationale, ne peut prétendre au statut de réfugié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Genève, janvier 1992, § 106 et 107, p. 26).</w:t>
      </w:r>
    </w:p>
    <w:p>
      <w:r>
        <w:rPr>
          <w:b/>
        </w:rPr>
        <w:t>E. 3.1</w:t>
      </w:r>
    </w:p>
    <w:p>
      <w:r>
        <w:t>En l'espèce, dans la mesure où les intéressés avaient la nationalité yougoslave au 1er janvier 1998 et où ils avaient, à cette date, selon leurs déclarations, leur domicile sur le territoire actuel du Kosovo, ils remplissent les conditions de la loi sur la nationalité kosovare. Ce constat n'a toutefois en soi qu'une portée limitée étant donné qu'ils n'ont pas été renvoyés au Kosovo par l'autorité intimée, mais en Serbie, l'exécution du renvoi vers le Kosovo ayant été jugée non raisonnablement exigible par l'ODM.</w:t>
      </w:r>
    </w:p>
    <w:p>
      <w:r>
        <w:rPr>
          <w:b/>
        </w:rPr>
        <w:t>E. 3.2</w:t>
      </w:r>
    </w:p>
    <w:p>
      <w:r>
        <w:t>Par ailleurs, les intéressés, qui se sont réclamés de la nationalité serbe au moment du dépôt de leur demande d'asile (cf. feuilles de données personnelles remplies le 24 février 2009), qui appartiennent à l'ethnie serbe et qui sont de langue maternelle serbe, remplissent également les conditions de reconnaissance de la nationalité serbe. A ce sujet, le Tribunal relève également que la recourante s'est vu délivrer une carte d'identité serbe valable jusqu'en 2013 et que le recourant a déclaré avoir également possédé une carte d'identité serbe mais l'avoir perdue (cf. p-v d'audition du 9 mars 2009 de A._______, p. 3).</w:t>
      </w:r>
    </w:p>
    <w:p>
      <w:r>
        <w:rPr>
          <w:b/>
        </w:rPr>
        <w:t>E. 3.3</w:t>
      </w:r>
    </w:p>
    <w:p>
      <w:r>
        <w:t>S'agissant des motifs d'asile avancés, le Tribunal constate que les intéressés n'ont allégué des risques de persécution qu'en relation avec leur qualité de minorité serbe au Kosovo. En revanche, ils n'ont pas fait valoir de motifs de persécution en lien avec la Serbie, pays dont ils ont la nationalité. Par ailleurs, il n'existe pas d'indications générales selon lesquelles les membres de l'ethnie serbe du Kosovo seraient empêchés par les autorités serbes de s'installer en Serbie ou forcés de retourner au Kosovo. En outre, les intéressés n'ont pas établi que les membres de la minorité serbe du Kosovo seraient expulsés de force ou déportés au Kosovo par les autorités serbes. Au contraire, le Commissariat pour les réfugiés de la République de Serbie est chargé de pourvoir à leur logement et à leurs besoins, notamment en matière de santé et de protection sociale, et si ces personnes obtiennent le statut de personne déplacée, elles se voient garantir le droit à l'emploi et à l'éducation (cf. art. 39ss de la loi sur l'asile, publiée in Journal officiel de la République de Serbie n° 109/2007 ; arrêt du Tribunal dans les causes D-7561/2008 précité et E-375/2008 du 26 mars 2009). Dans ces conditions et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Jurisprudence et informations de la Commission suisse de recours en matière d'asile [JICRA] 2000 n° 15 consid. 12a p. 127s.), il leur appartient de solliciter, le cas échéant, la protection de la Serbie (cf. arrêt du Tribunal administratif fédéral D-7561/2008 précité, consid. 6.5.1). Au surplus, il est rappelé que le Conseil fédéral, par décision du 6 mars 2009, avec effet au 1er avril 2009, a désigné la Serbie comme étant un pays exempt de persécutions (safe country) au sens de l'art. 6a al. 2 let. a LAsi.</w:t>
      </w:r>
    </w:p>
    <w:p>
      <w:r>
        <w:rPr>
          <w:b/>
        </w:rPr>
        <w:t>E. 3.4</w:t>
      </w:r>
    </w:p>
    <w:p>
      <w:r>
        <w:t>Au vu de ce qui précède, les motifs d'asile allégués par les recourants ne répondent pas aux exigences en matière de pertinence fixées par l'art. 3 LAsi.</w:t>
      </w:r>
    </w:p>
    <w:p>
      <w:r>
        <w:rPr>
          <w:b/>
        </w:rPr>
        <w:t>E. 3.5</w:t>
      </w:r>
    </w:p>
    <w:p>
      <w:r>
        <w:t>Il s'ensuit que 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les intéressés n'ont pas établi l'existence de sérieux préjudices au sens de l'art. 3 LAsi en relation avec la Serbie. Dans la mesure où l'exécution du renvoi vers le Kosovo a été exclue par l'ODM, ils ne peuvent se prévaloir de l'art. 5 LAsi, qui reprend en droit interne le principe de non-refoulement généralement reconnu en droit international public et énoncé expressément à l'art. 33 Conv. (cf. arrêt du Tribunal administratif fédéral D-7561/2008 précité, consid. 8.2.1).</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l'espèce, force est de constater que les recourants n'ont pas établi (cf. considérant 3) l'existence d'un risque réel, fondé sur des motifs sérieux et avérés, d'être exposés, en cas de renvoi en Serbie, à un traitement prohibé par les art. 3 CEDH et 3 Conv. torture.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Tribunal D-7561/2008 précité consid. 8.3.2 et jurisp. cit.). En outre, comme relevé ci-dessus (considérant 3.4), le Conseil fédéral a, par décision du 6 mars 2009, avec effet au 1er avril 2009, désigné la Serbie comme étant un pays exempt de persécutions (safe country) au sens de l'art. 6a al. 2 let. a LAsi.</w:t>
      </w:r>
    </w:p>
    <w:p>
      <w:r>
        <w:rPr>
          <w:b/>
        </w:rPr>
        <w:t>E. 7.3</w:t>
      </w:r>
    </w:p>
    <w:p>
      <w:r>
        <w:t>De façon générale, l'exécution du renvoi vers la Serbie de ressortissants d'ethnie serbe dont le dernier domicile était au Kosovo, apparaît raisonnablement exigible (cf. arrêt du Tribunal D-7561/2008 précité). Toutefois, avant d'admettre une possibilité d'installation en Serbie, il y a lieu de pondérer, dans chaque cas d'espèce, les facteurs tels que l'âge, la formation professionnelle, la connaissance de la langue locale, les possibilités concrètes de réinstallation dans des conditions économiques décentes (y compris accès au marché de l'emploi) et l'existence d'un réseau social et familial sur place. Cela étant, il est possible aux personnes originaires du Kosovo, présentes sur le territoire de la Serbie, de se faire enregistrer auprès des autorités serbes de leur lieu de résidence afin de bénéficier des mêmes droits que la population autochtone. Pour ce faire, elles peuvent s'adresser à une autorité administrative serbe afin d'obtenir les documents nécessaires à leur enregistrement en Serbie sans devoir pour autant passer par l'administration de leur dernier domicile au Kosovo. Au terme de leur enregistrement, les intéressés - d'ethnie et de langue serbes - bénéficieront des mêmes chances d'accès que les ressortissants serbes autochtones au marché du travail, au système de santé et au système scolaire.</w:t>
      </w:r>
    </w:p>
    <w:p>
      <w:r>
        <w:rPr>
          <w:b/>
        </w:rPr>
        <w:t>E. 7.4</w:t>
      </w:r>
    </w:p>
    <w:p>
      <w:r>
        <w:t>En outre, il ne ressort du dossier aucun élément dont on pourrait inférer que l'exécution du renvoi impliquerait une mise en danger concrète des recourants. A cet égard, force est de constater que les intéressés sont jeunes, de religion orthodoxe serbe, qu'ils parlent le serbe et qu'ils seront ainsi en mesure de s'intégrer socialement en Serbie. Ils sont également au bénéfice d'une expérience professionnelle en qualité de (...) et de (...) s'agissant de A._______ et d'une formation professionnelle de (...) s'agissant de B._______. Ils disposent ainsi de compétences pour subvenir, à moyen terme, aux besoins vitaux de leur famille. Par ailleurs, ils n'ont pas allégué ni a fortiori établi qu'ils souffraient de problèmes de santé particuliers pour lesquels ils ne pourraient pas être soignés en Serbie et qui seraient susceptibles de rendre leur renvoi inexigible. Enfin, la recourante a un oncle qui vit en Serbie et qui pourra les aider à surmonter d'éventuelles difficultés dans les premiers temps de leur installation. A ce sujet, les déclarations des recourants selon lesquelles cette oncle ne serait pas en mesure de leur venir en aide sont sans pertinence, puisque, d'une part, il ne s'agit là que de simples allégations que rien au dossier ne vient étayer et, d'autre part, on peut attendre des recourants qu'ils subviennent seuls à leurs besoins, sans aide familiale, à long terme. Au besoin, les recourants ont également la possibilité de présenter à l'ODM une demande d'aide au retour au sens des art. 93 LAsi et 73ss de l'ordonnance 2 du 11 août 1999 sur l'asile relative au financement (OA 2, RS 142.312), en vue notamment de faciliter leur réinstallation.</w:t>
      </w:r>
    </w:p>
    <w:p>
      <w:r>
        <w:rPr>
          <w:b/>
        </w:rPr>
        <w:t>E. 7.5</w:t>
      </w:r>
    </w:p>
    <w:p>
      <w:r>
        <w:t>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D-7561/2008 précité consid. 8.3.5, D-1336/2010 du 22 mars 2010, D-1272/2010 du 5 mars 2010 ; cf. également JICRA 1994 n° 18 consid. 4e p. 143).</w:t>
      </w:r>
    </w:p>
    <w:p>
      <w:r>
        <w:rPr>
          <w:b/>
        </w:rPr>
        <w:t>E. 7.6</w:t>
      </w:r>
    </w:p>
    <w:p>
      <w:r>
        <w:t>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w:t>
      </w:r>
    </w:p>
    <w:p>
      <w:r>
        <w:rPr>
          <w:b/>
        </w:rPr>
        <w:t>E. 7.7</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 Toutefois, vu les circonstances particulières de l'espèce, il est renoncé à titre exceptionnel à leur perception. Ainsi, leur demande de dispense des frais de procédure (cf. art. 65 al. 1 PA) est devenue sans objet. (dispositif : page suivante) 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