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E-4461/2011 vom 26. September 2011</w:t>
      </w:r>
    </w:p>
    <w:p>
      <w:r>
        <w:t>Bundesverwaltungsgericht, 2011-09-26, FR</w:t>
      </w:r>
    </w:p>
    <w:p>
      <w:r>
        <w:rPr>
          <w:b/>
        </w:rPr>
        <w:t xml:space="preserve">Quelle: </w:t>
      </w:r>
      <w:r>
        <w:t>https://mcp.opencaselaw.ch/entscheid/bvger_E-4461_2011</w:t>
      </w:r>
    </w:p>
    <w:p>
      <w:r>
        <w:t>FR: TAF E-4461/2011 du 26 septembre 2011</w:t>
      </w:r>
    </w:p>
    <w:p>
      <w:r>
        <w:t>IT: TAF E-4461/2011 del 26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recourant cherche à se protéger (art. 83 let. d ch. 1 de la loi du 17 juin 2005 sur le Tribunal fédéral [LTF, RS 173.110]).</w:t>
      </w:r>
    </w:p>
    <w:p>
      <w:r>
        <w:rPr>
          <w:b/>
        </w:rPr>
        <w:t>E. 1.2</w:t>
      </w:r>
    </w:p>
    <w:p>
      <w:r>
        <w:t>Le recourant a qualité pour recourir. Présenté dans la forme et dans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l'art. 26 al. 2 LAsi, le centre d'enregistrement a pour tâches principales de recueillir les données personnelles concernant le recourant et de prendre les mesures nécessaires à l'identification de celui-ci. Il peut en outre l'entendre de façon sommaire sur les motifs qui l'ont fait quitter son pays et sur les circonstances de son entrée en Suisse. Le caractère sommaire et facultatif de cette audition sur les motifs d'asile ressort donc expressément de la loi. La doctrine et la jurisprudence en déduisent que les déclarations faites à cette occasion ne peuvent avoir, dans le cadre de l'appréciation de la vraisemblance des motifs d'asile invoqués, une valeur probante que limitée (A. Achermann/C. Hausammann, Handbuch des Asylrechts, Berne/Stuttgart 1991, p. 145; W. Kälin, Grundriss des Asylverfahrens, Bâle/Francfort-sur-le-Main 1990, p. 252s, spéc. p. 253, note 25; Jurisprudence et Informations de la Commission suisse de recours en matière d'asile [JICRA] 1993 no 3, p. 11ss et no 12, p. 73ss). Cela ne signifie pas que le procès-verbal d'audition doive être écarté dans tous les cas. Sans doute y aura-t-il lieu de ne pas en tenir compte, notamment lorsque le recourant se sera exprimé de manière incomplète sur ses motifs d'asile - dans le cadre d'une audition aussi sommaire, l'intéressé n'a ni la possibilité ni l'obligation de le faire - ou lorsque ses déclarations ne correspondront pas exactement sur des points secondaires à celles qu'il aura faites ultérieurement (plus critiques: A. Achermann/C. Hausammann, op. cit., p. 263ss).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à l'autorité cantonale ou à l'ODM, ou lorsque des événements allégués par la suite comme motif principal d'asile n'ont pas été évoqués, au moins dans les grandes lignes, au centre d'enregistrement (JICRA 1993 no 3, p. 11ss; cf. JICRA 1996 no 17, p. 150ss).</w:t>
      </w:r>
    </w:p>
    <w:p>
      <w:r>
        <w:rPr>
          <w:b/>
        </w:rPr>
        <w:t>E. 3.2</w:t>
      </w:r>
    </w:p>
    <w:p>
      <w:r>
        <w:t>En l'occurrence et quoi qu'en dise le recourant, il se dégage bien deux récits distincts de la comparaison des procès-verbaux de ses auditions. Dans le premier, c'est un médecin qui l'aurait fait s'échapper de l'hôpital où il aurait été transporté à H._______. A l'extérieur, il aurait ensuite rejoint un pasteur rencontré peu auparavant qui l'attendait, puis les deux seraient partis se mettre à l'abri à I._______ muni d'un peu d'argent que la concubine du cousin du recourant leur aurait remis. Enfin le recourant aurait fui I._______ après que le pasteur y aurait été arrêté. Dans cette version initiale des faits pertinents, il n'est plus question du cousin du recourant après leur arrestation au 124 de l'avenue F._______, dans la commune de G._______. Dans le second récit, tiré de ses déclarations à son audition du 20 juin 2011, il apparaît que, successivement transporté dans deux hôpitaux distincts, le recourant aurait connu dans le second établissement un pasteur en compagnie duquel il se serait évadé par la fenêtre de sa chambre. Ce pasteur lui aurait ensuite fait part de son intention de se rendre à I._______ pour voir comment la situation allait évoluer mais c'est avec son cousin que le recourant aurait fini par partir à I._______ où les deux auraient vécu de l'argent que la "femme" du premier leur faisait parvenir. Finalement, le recourant aurait fui cette ville à la mort de son cousin, abattu par des soldats. Dans son mémoire, le recourant impute ces divergences au trouble que lui auraient causé les interruptions qui ont marqué son audition sommaire et au fait qu'il n'aurait pas pu rectifier ses déclarations faute d'avoir pu les relire lui-même. De fait, cette réfutation des arguments retenus à son détriment par l'ODM ne convainc pas. Le Tribunal constate en effet que déjà lors de son audition sommaire, le recourant a pu s'exprimer longuement sur ses motifs de fuite et ce ne sont pas deux interruptions - l'une pour l'inviter à évoquer (après qu'il se fut étendu sur ce qui l'avait amené à l'hôpital et sur ce qui s'était passé à cet endroit) ce qui l'avait personnellement poussé à fuir son pays l'autre pour savoir ce qui s'était passé pour qu'il puisse finalement s'enfuir de l'hôpital où il aurait été transporté - qui ont pu le troubler au point d'avancer des faits qui ne correspondent pas aux événements qu'il aurait vécus en réalité. A ce propos, le Tribunal relève notamment que ses déclarations, à ce moment, sur les participants à la réunion du 16 septembre 2010 ne laissent entrevoir aucune ambiguïté sur leur nombre (cf. pv de l'audition du 25 novembre 2010. "Peu de temps après, nous sommes arrivés sur les lieux de la réunion. On était étonné qu'il n'y avait que deux personnes. Il s'agissait des deux personnes qui nous avaient proposé de faire les réunions chez elles. On s'est retrouvé à quatre et on a commencé à parler des problèmes politiques"). Enfin, s'il n'a pas lui-même relu le procès-verbal de son audition sommaire, celui-ci lui a été traduit en lingala, langue qu'il comprend et par sa signature, il a attesté que le pv en question était conforme à ses déclarations. Le Tribunal en conclut donc que le recourant a plus imaginé les faits allégués à l'appui de sa demande qu'il ne les a effectivement vécus.</w:t>
      </w:r>
    </w:p>
    <w:p>
      <w:r>
        <w:rPr>
          <w:b/>
        </w:rPr>
        <w:t>E. 3.3</w:t>
      </w:r>
    </w:p>
    <w:p>
      <w:r>
        <w:t>Pour le reste, commet une inadvertance l'autorité qui omet de prendre en considération une pièce déterminée, versée au dossier, ou la lit mal, s'écartant par mégarde de sa teneur exacte, en particulier de son sens manifeste. En ce qui concerne la présente affaire, force est de constater que, dans sa décision, l'ODM a effectivement mentionné à tort que le recourant avait été arrêté le 16 ou 17 septembre 2011 au lieu de 2010. Toutefois, seule une inadvertance portant sur un fait propre à entraîner une modification de la décision en faveur du recourant pourrait éventuellement justifier l'admission de son recours. En l'occurrence, la méprise dont il se prévaut ne procède pas d'une inadvertance au sens défini ci-dessus mais d'une simple erreur de transcription qui ne porte pas à conséquence.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Le Tribunal retient aussi qu'au vu de l'invraisemblance du récit du recourant, telle que relevée plus haut, et du défaut de crédibilité des risques de persécutions allégués,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de l'exécution du renvoi du recourant une mise en danger concrète pour lui. A cet égard, il y a lieu de renvoyer aux considérations de l'ODM en la matière (cf. Faits, let. B 2ème par.), considérations dont le bien-fondé, faute d'arguments déterminants dans le recours, n'a pas lieu d'être remis en cause.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Infondé, le recours est rejeté sans qu'il soit nécessaire de procéder à un échange d'écritures (cf. art. 111a al. 1 LAsi).</w:t>
      </w:r>
    </w:p>
    <w:p>
      <w:r>
        <w:rPr>
          <w:b/>
        </w:rPr>
        <w:t>E. 11</w:t>
      </w:r>
    </w:p>
    <w:p>
      <w:r>
        <w:t>Dans la mesure où les conclusions du recours étaient d'emblée vouées à l'échec à l'époque de leur dépôt, la requête d'assistance judiciaire partielle doit être rejetée (art. 65 al. 1 PA).</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