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E-4460/2011 vom 22. August 2011</w:t>
      </w:r>
    </w:p>
    <w:p>
      <w:r>
        <w:t>Bundesverwaltungsgericht, 2011-08-22, FR</w:t>
      </w:r>
    </w:p>
    <w:p>
      <w:r>
        <w:rPr>
          <w:b/>
        </w:rPr>
        <w:t xml:space="preserve">Quelle: </w:t>
      </w:r>
      <w:r>
        <w:t>https://mcp.opencaselaw.ch/entscheid/bvger_E-4460_2011</w:t>
      </w:r>
    </w:p>
    <w:p>
      <w:r>
        <w:t>FR: TAF E-4460/2011 du 22 août 2011</w:t>
      </w:r>
    </w:p>
    <w:p>
      <w:r>
        <w:t>IT: TAF E-4460/2011 del 22 agosto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Les explications données par le recourant ne sont pas de nature à remettre en cause les motifs de la décision attaquée (cf. JICRA 1999 n° 16 consid. 5 p. 108ss). En effet, la simple affirmation de l'intéressé selon laquelle il lui est impossible de contacter son oncle ne saurait être considérée comme une circonstance valable, susceptible de justifier la non-production de documents requis. Le recourant avait par ailleurs tout loisir de contacter son ami, D._______, et solliciter son aide afin de prouver son identité. L'argument, formulé dans l'acte de recours, consistant à affirmer qu'il avait enfin trouvé un numéro de téléphone d'un ami, s'abstenant toutefois de le mentionner, est en l'espèce sans pertinence.</w:t>
      </w:r>
    </w:p>
    <w:p>
      <w:r>
        <w:rPr>
          <w:b/>
        </w:rPr>
        <w:t>E. 3.2</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En effet, le recourant ne fait valoir, à l'appui de sa demande, aucun motif pertinent en matière d'asile ; en particulier, il n'allègue aucun risque de persécution en Gambie, en raison d'un des motifs exhaustivement énumérés par l'art. 3 al. 1 LAsi. En l'espèce, l'intéressé se plaint uniquement d'un conflit familial, en l'occurrence, sans signification pour l'octroi de protection en matière d'asile. Indépendamment de sa pertinence ou non, le récit de l'intéressé n'est pas vraisemblable. Général et sommaire, dépourvu de détails significatifs d'une expérience réellement vécu, il frappe par son manque de substance. Le recourant n'est notamment pas en mesure d'indiquer la date exacte du décès de sa mère voire l'âge de son cousin. Il ignore par ailleurs le nombre d'habitants de son village. A défaut d'être étayé par un moyen de preuve quelconque, le discours de l'intéressé, dans son ensemble, ne contient aucun élément concret permettant de le considérer comme vraisemblable. A cela s'ajoute le fait que la description du voyage est stéréotypée, imprécise et manque considérablement de substance. Elle est, par ailleurs, improbable. L'affirmation selon laquelle l'intéressé aurait réussi à voyager de Gambie en Suisse sans subir le moindre contrôle n'est pas convaincante. Contraire à l'expérience de vie, elle ne fait que renforcer l'appréciation selon laquelle les propos de l'intéressé ne peuvent être tenus pour vraisemblables.</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 On observera au passage que l'argument, invoqué au stade du recours, selon lequel la police gambienne refuserait d'intervenir dans un conflit familial pour respecter les préceptes de la Charia n'apparaît être articulé que pour les besoins de la cause.</w:t>
      </w:r>
    </w:p>
    <w:p>
      <w:r>
        <w:rPr>
          <w:b/>
        </w:rPr>
        <w:t>E. 4.3</w:t>
      </w:r>
    </w:p>
    <w:p>
      <w:r>
        <w:t>Elle est également raisonnablement exigible (cf. art. 83 al. 4 LEtr) non seulement vu l'absence notoire de violence généralisée dans le pays d'origine du recourant, mais également eu égard à la situation personnelle du recourant. En effet, il ne ressort pas du dossier que le recourant pourrait être mis en danger concrètement pour des motifs qui lui seraient propres. L'intéressé est jeune, majeur et n'a quitté son pays que depuis quelques mois.</w:t>
      </w:r>
    </w:p>
    <w:p>
      <w:r>
        <w:rPr>
          <w:b/>
        </w:rPr>
        <w:t>E. 4.4</w:t>
      </w:r>
    </w:p>
    <w:p>
      <w:r>
        <w:t>L'exécution du renvoi est enfin possible (cr. art. 83 al. 2 LEtr) et le recourant est tenus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partielle est rejetée, les conclusions du recours étant d'emblée vouées à l'échec (cf. art. 65 al. 1 PA).</w:t>
      </w:r>
    </w:p>
    <w:p>
      <w:r>
        <w:rPr>
          <w:b/>
        </w:rPr>
        <w:t>E. 5.3</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