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E-4455/2019 vom 12. September 2019</w:t>
      </w:r>
    </w:p>
    <w:p>
      <w:r>
        <w:t>Bundesverwaltungsgericht, 2019-09-12, DE</w:t>
      </w:r>
    </w:p>
    <w:p>
      <w:r>
        <w:rPr>
          <w:b/>
        </w:rPr>
        <w:t xml:space="preserve">Quelle: </w:t>
      </w:r>
      <w:r>
        <w:t>https://mcp.opencaselaw.ch/entscheid/bvger_E-4455_2019</w:t>
      </w:r>
    </w:p>
    <w:p>
      <w:r>
        <w:t>FR: TAF E-4455/2019 du 12 septembre 2019</w:t>
      </w:r>
    </w:p>
    <w:p>
      <w:r>
        <w:t>IT: TAF E-4455/2019 del 12 settembre 2019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wird.</w:t>
      </w:r>
    </w:p>
    <w:p>
      <w:r>
        <w:rPr>
          <w:b/>
        </w:rPr>
        <w:t>E. 2</w:t>
      </w:r>
    </w:p>
    <w:p>
      <w:r>
        <w:t>Die Verfügung vom 26. Juni 2018 wird aufgehoben. Das Verfahren wird im Sinne der Erwägungen zur Neubeurteilung ans SEM überwiesen.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SEM wird angewiesen, den Beschwerdeführenden für das Verfahren vor dem Bundesverwaltungsgericht eine Parteientschädigung von Fr. 1'800. auszurichten.</w:t>
      </w:r>
    </w:p>
    <w:p>
      <w:r>
        <w:rPr>
          <w:b/>
        </w:rPr>
        <w:t>E. 5</w:t>
      </w:r>
    </w:p>
    <w:p>
      <w:r>
        <w:t>Dieses Urteil geht an die Beschwerdeführenden, das SEM und die zuständige kantonale 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