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E-4453/2024 vom 17. Oktober 2024</w:t>
      </w:r>
    </w:p>
    <w:p>
      <w:r>
        <w:t>Bundesverwaltungsgericht, 2024-10-17, DE</w:t>
      </w:r>
    </w:p>
    <w:p>
      <w:r>
        <w:rPr>
          <w:b/>
        </w:rPr>
        <w:t xml:space="preserve">Quelle: </w:t>
      </w:r>
      <w:r>
        <w:t>https://mcp.opencaselaw.ch/entscheid/bvger_E-4453_2024</w:t>
      </w:r>
    </w:p>
    <w:p>
      <w:r>
        <w:t>FR: TAF E-4453/2024 du 17 octobre 2024</w:t>
      </w:r>
    </w:p>
    <w:p>
      <w:r>
        <w:t>IT: TAF E-4453/2024 del 17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E-4453/2024 Seite 5 Abs. 2 AsylG; Art. 48 Abs. 1 sowie Art. 52 Abs. 1 VwVG). Auf die Be- schwerde ist einzutreten.</w:t>
      </w:r>
    </w:p>
    <w:p>
      <w:r>
        <w:rPr>
          <w:b/>
        </w:rPr>
        <w:t>E. 2</w:t>
      </w:r>
    </w:p>
    <w:p>
      <w:r>
        <w:t>Das vorliegende Beschwerdeverfahren wird mit dem Beschwerdeverfah- ren der volljährigen Tochter der Beschwerdeführerin, welches beim Bun- desverwaltungsgericht unter der Verfahrensnummer E-4452/2024 geführt wird, koordiniert behandelt.</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Gestützt auf Art. 111a Abs. 1 AsylG wurde auf die Durchführung eines Schriftenwechsels verzichtet.</w:t>
      </w:r>
    </w:p>
    <w:p>
      <w:r>
        <w:rPr>
          <w:b/>
        </w:rPr>
        <w:t>E. 4.1</w:t>
      </w:r>
    </w:p>
    <w:p>
      <w:r>
        <w:t>In der Beschwerde wird in formeller Hinsicht gerügt, dass die Vo- rinstanz ihre Untersuchungspflicht verletzt habe. Die Asylanhörung sei nicht ausreichend lang gewesen, um eine richtige und vollständige Fest- stellung des rechtserheblichen Sachverhalts zu gewährleisten. Zudem seien Fragen, welche von Asylrelevanz gewesen wären, gar nicht erst ge- stellt worden. Insbesondere habe die Vorinstanz die wichtigen Informatio- nen betreffend den Zeitraum nach der Trennung zum Teil unrichtig und un- vollständig festgestellt. Darüber hinaus habe die befragende Person durch ihr hartes und autoritäres Vorgehen die Aussagefähigkeit der Beschwerde- führerin, die unter (…) leide, beeinträchtigt. Diesbezüglich äusserte sich die Beschwerdeführerin in einem der Rechtsmitteleingabe beigelegten persön- lichen Schreiben dahingehend, dass sie sich anlässlich der Anhörung unter Druck gesetzt gefühlt habe und viel geweint habe, dass es ihr psychisch nicht gut gegangen sei und sie sich in einem traumatisierten Zustand be- funden habe. Deshalb habe sie die Punkte, die sie davor mit ihrer Rechts- vertretung besprochen habe, nicht zur Sprache bringen können (BVGer- act. 1/6). Diese formellen Rügen sind vorab zu beurteilen, da sie sich al- lenfalls dazu eignen, eine Kassation der vorinstanzlichen Verfügung zu be- wirken (vgl. BVGE 2013/34 E. 4.2; KÖLZ/HÄNER/BERTSCHI, Verwaltungs- verfahren und Verwaltungsrechtspflege des Bundes, 3. Aufl. 2013, Rz. 1043 ff. m.w.H.).</w:t>
      </w:r>
    </w:p>
    <w:p>
      <w:r>
        <w:t>E-4453/2024 Seite 6</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und insbesondere dem Anhörungs- protokoll keine Hinweise entnehmen, dass der Befragungsstil oder das An- hörungsklima die Beschwerdeführerin daran gehindert hätten, ihre Asyl- gründe umfassend darzulegen. Zudem war ihre Rechtsvertretung anwe- send und hätte die Möglichkeit gehabt, zusätzliche Fragen zu stellen oder anderweitig zu intervenieren, wenn sie dies zwecks richtiger und vollstän- diger Erstellung des Sachverhalts respektive zwecks korrekter Wahrneh- mung des Anspruchs der Beschwerdeführerin auf rechtliches Gehör für notwendig erachtet hätte. Die reine Anhörungsdauer (abzüglich der Pau- sen) einschliesslich Rückübersetzung betrug sodann zwei Stunden und 35 Minuten, was nicht als auffallend kurz zu erachten ist, wobei die Erstellung des Sachverhalts ohnehin nicht an eine bestimmte Anhörungsdauer ge- bunden ist. Die Beschwerdeführerin konnte sich entgegen der Ausführun- gen in der Beschwerdeschrift umfassend zu ihren Asylgründen äussern und erhielt am Ende der Anhörung die Möglichkeit, allfällige Ergänzungen zu ihren Asylgründen vorzubringen. Zudem hat die Vorinstanz mehrmals und konkret nachgefragt, ob und inwiefern die Beschwerdeführerin nach der Trennung weiterhin Drohungen und Gewalttätigkeiten seitens ihres Ex- Mannes ausgesetzt gewesen sei, weshalb der Vorinstanz nicht vorgewor- fen werden kann, den Sachverhalt in dieser Hinsicht ungenügend abgeklärt zu haben.</w:t>
      </w:r>
    </w:p>
    <w:p>
      <w:r>
        <w:t>E-4453/2024 Seite 7</w:t>
      </w:r>
    </w:p>
    <w:p>
      <w:r>
        <w:rPr>
          <w:b/>
        </w:rPr>
        <w:t>E. 4.4</w:t>
      </w:r>
    </w:p>
    <w:p>
      <w:r>
        <w:t>Der Sachverhalt wurde nach dem Gesagten durch die Vorinstanz rechtsgenüglich erstellt und es ist auch keine Gehörsverletzung ersichtlich. Die formellen Rügen erweisen sich demnach als unbegründet, weshalb keine Veranlassung besteht, die angefochtene Verfügung aus diesen Gründen aufzuheben und die Sache an das SEM zurückzuweisen.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aus, dass die Be- schwerdeführerin weitere Drohungen und Gewalttaten des Ex-Mannes nach der Trennung zwar bejaht habe, jedoch trotz dreimaligen Nachfra- gens für die Zeit zwischen der Trennung und der Scheidung kein konkretes Vorkommnis habe nennen können. Die beiden einzigen Kontakte mit der Polizei hätten denn auch vor der Trennung stattgefunden, womit weitere Versuche, sich an die türkischen Behörden zu wenden, ab dem Zeitpunkt der Trennung offensichtlich obsolet gewesen seien. Da sie sich eigenen Angaben zufolge bereits 2021 von ihrem Ex-Mann getrennt habe, fehle der zeitliche Kausalzusammenhang zwischen ihrer Ausreise im (…) 2023 und den vorgebrachten Asylgründen. An dieser Einschätzung vermöge auch ihr Vorbringen, ihr Ex-Mann habe sie anlässlich der Scheidung im (…) 2022 noch einmal verbal bedroht und sie habe nach der Scheidung bis zu ihrer</w:t>
      </w:r>
    </w:p>
    <w:p>
      <w:r>
        <w:t>E-4453/2024 Seite 8 Ausreise das Haus nicht mehr verlassen, nichts zu ändern. Nach der Scheidung seien noch einmal rund fünf Monate bis zur Ausreise vergangen und sie habe angegeben, dass sie in diesem Zeitraum keinen Kontakt mehr zu ihrem Ex-Mann gehabt habe. Es liege daher trotz der bedauerlichen Erlebnisse während der Zeit der Ehe keine aktuelle Verfolgung vor und es seien auch keine Hinweise ersichtlich, welche auf eine begründete Furcht vor zukünftiger Verfolgung schliessen liessen. Aufgrund des Gesagten sei nur ergänzend darauf hinzuweisen, dass die türkischen Behörden gemäss Rechtsprechung des Bundesverwaltungsge- richts bei Bedrohungen durch Drittpersonen grundsätzlich als schutzfähig und schutzwillig erachtet würden, wobei dies insbesondere für städtische Gebiete (…) gelte.</w:t>
      </w:r>
    </w:p>
    <w:p>
      <w:r>
        <w:rPr>
          <w:b/>
        </w:rPr>
        <w:t>E. 6.2</w:t>
      </w:r>
    </w:p>
    <w:p>
      <w:r>
        <w:t>Die Beschwerdeführerin wendet in ihrer Rechtsmitteleingabe dagegen ein, dass sie nach der Trennung zwar keinen direkten Kontakt mehr mit ihrem Ex-Mann gehabt habe, jedoch über Verwandte und Bekannte von aktuellen Drohungen des Ex-Mannes erfahren habe. Wie sie selbst erlebt habe, sähen sich Frauen, welche auf türkischen Polizeiwachen Schutz suchten, von männlichen Polizeibeamten mit grossen Vorurteilen konfron- tiert. So habe sie nur zwei Mal während der Ehe den Mut aufgebracht, sich wegen der Gewalt ihres Ehemannes an die türkische Polizei zu wenden, sei aber von dieser nicht ernst genommen worden und habe keinen Schutz erhalten, weshalb sie das Haus ihres Bruders monatelang nicht mehr ver- lassen habe, zumal die Drohungen ihres Ex-Mannes bis heute nie aufge- hört hätten. Weiter sei zu erwähnen, dass seit dem Austritt der Türkei aus der Istanbul-Konvention die Zahl von Gewalttaten gegen Frauen und der Femizide in der Türkei erheblich angestiegen sei. Auch dies zeige, dass der türkische Staat weder willig noch fähig sei, Frauen zu schützen. Ferner seien die Sicherheitsvorkehrungen in den Frauenhäusern der Türkei so un- zureichend, dass es unrealistisch und abwegig sei zu erwarten, dass Frauen in diesen Unterkünften Schutz suchen würden. Der Beschwerde- führerin sei daher aufgrund der intensiven Verfolgung durch ihren Ex-Mann und mangels Schutzes der türkischen Behörden keine andere Möglichkeit geblieben, als aus der Türkei zu fliehen. Im Übrigen leide sie unter (…) und es wäre aufgrund ihres schlechten Gesundheitszustands, der auf die Ver- folgung durch den Ex-Mann in der Türkei zurückzuführen sei, unzumutbar sie in die Türkei wegzuweisen. Mit der Beschwerdeschrift wurden neben einer Fürsorgebestätigung ein USB-Stick mit angeblichen Sprachnachrichten des Ex-Mannes und eines</w:t>
      </w:r>
    </w:p>
    <w:p>
      <w:r>
        <w:t>E-4453/2024 Seite 9 Bekannten sowie WhatsApp-Korrespondenzen mit Familienmitgliedern vom Juni 2024 (BVGer-act. 1/8) und bereits in den vorinstanzlichen Akten liegende Kopien der Spitalberichte aus der Türkei vom (…) 2022 und vom (…) 2023 (BVGer-act. 1/9 und 1/10) zu den Akten gereicht. Zudem wurden Kopien von zwei persönlichen Briefen der Beschwerdeführerin (BVGer- act. 1/6 und 1/7) eingereicht. Wie bereits bei den formellen Rügen erwähnt, äusserte sie sich im ersten Brief zu den von ihr wahrgenommenen Proble- men anlässlich ihrer Asylanhörung (vgl. E. 4.1 hiervor). Im zweiten Brief schildert sie ihre Lebensgeschichte sowie erneut ihre Asylgründe. Wäh- rend ihrer Kindheit respektive bis zu ihrem Wegzug nach B._______ sei es in ihrem Heimatdorf wiederholt zu gewaltsamen Übergriffen und Gräuelta- ten seitens der türkischen Behörden auf die kurdische Dorfbevölkerung ge- kommen. Sie, ihre Mutter und ihre Geschwister seien zwar sehr arm, aber grundsätzlich glücklich gewesen. Als ihr Vater in Rente gegangen sei, habe er jedoch begonnen ihre Mutter, ihre Geschwister und sie selbst zu schla- gen. Nachdem sie im Alter von (…) Jahren verheiratet worden sei, sei sie psychisch stark unter Druck gesetzt worden, habe das Haus nicht verlas- sen und der Schwiegerfamilie dienen müssen. Ihr Ex-Mann habe sie bei der Familie alleine gelassen, da er L._______ gearbeitet habe. Wenn er zurückgekehrt sei, habe er sie und auch ihren Sohn jeweils geschlagen und schlecht behandelt. Nachdem sie nach B._______ gezogen seien, sei sie weiterhin von ihrem Ex-Mann misshandelt worden, wobei die häusliche Gewalt schlimmer geworden sei, nachdem ihr Ex-Mann (…). Nachdem ihr Ex-Mann in Rente gegangen sei, seien die gewaltsamen Übergriffe derart schlimm geworden, dass ihr Sohn ausgezogen sei und sie, nachdem sie ihre Geschwister konsultiert habe, mit ihrer Tochter bei ihrem jüngeren Bru- der untergekommen sei. Aber auch danach und nach der Scheidung, die durch die Ältesten der Familie und ihre Brüder in die Wege geleitet worden sei, würde es ihr psychisch sehr schlecht gehen. Aus Angst sei sie nicht in der Lage gewesen, das Haus ihres Bruders zu verlassen und habe sich lediglich mit Hilfe von Medikamenten auf den Beinen halten können.</w:t>
      </w:r>
    </w:p>
    <w:p>
      <w:r>
        <w:rPr>
          <w:b/>
        </w:rPr>
        <w:t>E. 7.1</w:t>
      </w:r>
    </w:p>
    <w:p>
      <w:r>
        <w:t>Das Bundesverwaltungsgericht kommt nach Durchsicht der Akten zum Schluss, dass das SEM zu Recht zur Erkenntnis gelangt ist, die geltend gemachten Verfolgungsvorbringen würden den Anforderungen an die Flüchtlingseigenschaft gemäss Art. 3 AsylG nicht genügen. Die Ausführun- gen auf Beschwerdeebene sind nicht geeignet, zu einer anderen Beurtei- lung zu gelangen.</w:t>
      </w:r>
    </w:p>
    <w:p>
      <w:r>
        <w:t>E-4453/2024 Seite 10</w:t>
      </w:r>
    </w:p>
    <w:p>
      <w:r>
        <w:rPr>
          <w:b/>
        </w:rPr>
        <w:t>E. 7.2</w:t>
      </w:r>
    </w:p>
    <w:p>
      <w:r>
        <w:t>Es ist nicht zu verkennen, dass die Beschwerdeführerin vor der Tren- nung von ihrem Ex-Mann Gewalt erlitten hat. Vor dem Hintergrund ihrer Erlebnisse ist es – aus subjektiver Sicht – zwar verständlich, dass sie sich davor fürchtet, ihr Ex-Mann könne seine Drohungen in die Tat umsetzen. Sie hat anlässlich der Anhörung, abgesehen von den im Rahmen des Scheidungsprozesses ausgesprochenen Drohungen, jedoch trotz wieder- holten Nachfragens seitens der Vorinstanz keinen entsprechenden Vorfall nennen können, der sich nach der Trennung durch den Umzug zu ihrem Bruder und somit seit Ende 2021 bis zu ihrer Ausreise im (…) 2023 zuge- tragen hat (vgl. A36 F82 ff.). Wie sie erstmals in der Beschwerdeschrift vor- brachte, habe sie von den Drohungen des Ex-Mannes nach der Trennung über Verwandte und Bekannte erfahren (Beschwerdeschrift S. 13 und zweites persönliches Schreiben in BVGer-act. 1/6). Dies stellt für sich al- leine genommen jedoch noch kein genügender Hinweis für eine objektiv begründete Furcht dar. Die in diesem Zusammenhang eingereichten Sprachnachrichten und Whatsapp-Korrespondenzen verfügen ferner nur über einen geringen Beweiswert. Die Sprachnachrichten sind denn auch nicht mit einem Datum versehen, weshalb sie ohnehin nicht geeignet sind, allfällige nach der Trennung erfolgte Drohungen nachzuweisen. Darüber hinaus wird in der Beschwerdeschrift vorgebracht, dass sie vom Ex-Mann nach Einreichung der Scheidungsklage im (…) 2022 erneut geschlagen worden sei (vgl. Beschwerdeschrift S. 9). Dies lässt sich ihren Ausführun- gen anlässlich der Asylanhörung und auch ihrem zweiten persönlichen Schreiben (vgl. BVGer-act. 6/1) nicht entnehmen und widerspricht mithin ihren persönlichen Äusserungen. Aus objektiver Sicht bestehen somit keine konkreten Anhaltspunkte dafür, dass die Beschwerdeführerin zum heutigen Zeitpunkt noch eine ernsthafte Verfolgung durch ihren Ex-Mann zu befürchten hat.</w:t>
      </w:r>
    </w:p>
    <w:p>
      <w:r>
        <w:rPr>
          <w:b/>
        </w:rPr>
        <w:t>E. 7.3</w:t>
      </w:r>
    </w:p>
    <w:p>
      <w:r>
        <w:t>Das Bundesverwaltungsgericht hat in gefestigter Praxis die grundsätz- 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w:t>
      </w:r>
    </w:p>
    <w:p>
      <w:r>
        <w:t>E-4453/2024 Seite 11 Möglichkeiten zur Schutzinanspruchnahme ausgegangen werden kann (vgl. zum Ganzen Urteile BVGer E-1948/2018 vom 12. Juni 2018 E. 5.2 [als Referenzurteil publiziert]; D-2682/2020 vom 12. Januar 2023 E. 6.2; D-4974/2021 vom 19. Dezember 2022 E. 6.1.3; D-167/2022 vom 30. Mai 2022 E. 6.2; D-4443/2020 vom 26. November 2021 E. 8.1; je m.w.H.). Der Beschwerdeführerin ist es demnach zuzumuten, sich bei allfälligen er- neuten Bedrohungen und Belästigungen durch den Ex-Mann an die türki- schen Behörden zu wenden, wobei es ihr möglich ist, sich – sollte sie sich auf einem Polizeiposten nicht ernstgenommen fühlen – an einen anderen Polizeiposten (…) zu wenden und ihre Rechte nötigenfalls mit der Hilfe ei- nes Anwalts respektive einer Anwältin durchzusetzen. Auch ist davon aus- zugehen, dass sie bei ihrer Rückkehr in die Türkei in dieser Hinsicht wei- terhin auf die Unterstützung ihrer Familie, insbesondere ihres Bruders, bei dem sie während ungefähr eineinhalb Jahren vor ihrer Ausreise gewohnt hat, zählen kann und sich alternativ zumindest vorübergehenden – allen- falls gemeinsam mit ihrer Tochter – auch in eine andere Stadt, zum Beispiel nach L._______, wo ebenfalls Verwandte von ihr wohnhaft sind (A36 F31), begeben könnte.</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gewärtigen hätte. Demnach hat das SEM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t>E-4453/2024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w:t>
      </w:r>
    </w:p>
    <w:p>
      <w:r>
        <w:t>E-4453/2024 Seite 13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 schen Konflikts sowie der bewaffneten Auseinandersetzung zwischen der PKK (Partiya Karkerên Kurdistanê, Arbeiterpartei Kurdistans)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der vorliegend nicht relevanten Ausnahme der Provinzen Hakkari und Şırnak [vgl. dazu BVGE 2013/2 E. 9.6]) auszugehen (vgl. Urteil BVGer E- 5566/2020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Be- schwerdeführerin stammt nicht aus einer der genannten Provinzen, in wel- che ein Vollzug der Wegweisung aufgrund des Erdbebens unzumutbar wäre.</w:t>
      </w:r>
    </w:p>
    <w:p>
      <w:r>
        <w:t>E-4453/2024 Seite 14</w:t>
      </w:r>
    </w:p>
    <w:p>
      <w:r>
        <w:rPr>
          <w:b/>
        </w:rPr>
        <w:t>E. 9.3.2</w:t>
      </w:r>
    </w:p>
    <w:p>
      <w:r>
        <w:t>Auch in individueller Hinsicht sind keine Gründe ersichtlich, die ge- gen die Zumutbarkeit des Wegweisungsvollzugs sprechen. Die Beschwer- deführerin lebte von (…) bis zu ihrer Ausreise im Jahr 2023 in B._______ (A36 F12). Zwar war sie abgesehen von einer kurzen Anstellung nicht ar- beitstätig, sie erhielt jedoch Unterstützung von ihrem Bruder in B._______, bei welchem sie gemeinsam mit ihrer Tochter wohnen konnte. Zudem half ihr ihre Tochter, welche in einem (…) arbeitete, in finanzieller Hinsicht (A36 F15 ff. und F37 ff.). Es ist davon auszugehen, dass die Beschwerdeführerin nach der Rückkehr in die Türkei zu ihrem Bruder nach B._______, wo auch weitere Geschwister von ihr leben (A36 F31), zurückkehren sowie auf die finanzielle Hilfe ihrer erwerbsfähigen Tochter zählen kann und somit über ein tragfähiges familiäres Beziehungsnetz in der Türkei verfügt.</w:t>
      </w:r>
    </w:p>
    <w:p>
      <w:r>
        <w:rPr>
          <w:b/>
        </w:rPr>
        <w:t>E. 9.3.3</w:t>
      </w:r>
    </w:p>
    <w:p>
      <w:r>
        <w:t>In Bezug auf die Gesundheit der Beschwerdeführerin ist festzustel- len, dass sie gemäss dem ärztlichen Kurzbericht der F._______ vom (…) 2023 an einer (…) sowie (…) leidet (A30). Den eingereichten medizini- schen Unterlagen zufolge war sie bereits in der Türkei wegen [psychischen Problemen] in Behandlung (A3 Beweismittel 2). Nachdem bei ihr am (…) 2023 eine (…), ein (…) und (…) diagnostiziert wurden (A21), wurde ihr am (…) 2023 (…) (A31). Auch in [somatischer Hinsicht] befand sie sich gemäss den eingereichten Dokumenten bereits in der Türkei in Behandlung (A3 Beweismittel 2). Ohne die genannten gesundheitlichen Probleme der Be- schwerdeführerin zu verkennen, sprechen diese nicht für eine medizini- sche Notlage, aufgrund welcher von der Unzumutbarkeit des Wegwei- sungsvollzugs auszugehen wäre (vgl. BVGE 2011/50 E. 8.3 und 2009/2 E. 9.3.2, je m.w.H.), zumal sie bereits in der Türkei behandelt wurden. Die Türkei verfügt denn auch grundsätzlich über ein funktionierendes Gesund- heitssystem, das insbesondere in grösseren Städten (…) dem europäi- schen Standard entspricht (vgl. Urteil BVGer D-1554/2022 vom 29. Juli 2022 E. 9.3.4 m.w.H.).</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t>E-4453/2024 Seite 15</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Bei diesem Ausgang des Verfahrens wären die Kosten grundsätzlich der unterliegenden Beschwerdeführerin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w:t>
      </w:r>
    </w:p>
    <w:p>
      <w:r>
        <w:rPr>
          <w:b/>
        </w:rPr>
        <w:t>E. 11.2</w:t>
      </w:r>
    </w:p>
    <w:p>
      <w:r>
        <w:t>Das Gesuch um Gewährung der unentgeltlichen Rechtsverbeistän- dung ist ebenfalls gutzuheissen (Art. 102m Abs. 1 Bst. a AsylG) und der Beschwerdeführerin ist antragsgemäss der rubrizierte Rechtsvertreter als amtlicher Rechtsbeistand beizuordnen. Diesem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E-4452/2024 der Tochter der Beschwerdefüh- rerin auszurichtenden Honorars ist dem amtlichen Rechtsbeistand durch das Gericht für das vorliegende Verfahren ein Honorar in der Höhe von Fr. 750.- zuzusprechen.</w:t>
      </w:r>
    </w:p>
    <w:p>
      <w:r>
        <w:t>E-4453/2024 Seite 16</w:t>
      </w:r>
    </w:p>
    <w:p>
      <w:r>
        <w:t>(Dispositiv nächste Seite)</w:t>
      </w:r>
    </w:p>
    <w:p>
      <w:r>
        <w:t>E-4453/2024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