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E-4453/2007 vom 5. März 2010</w:t>
      </w:r>
    </w:p>
    <w:p>
      <w:r>
        <w:t>Bundesverwaltungsgericht, 2010-03-05, FR</w:t>
      </w:r>
    </w:p>
    <w:p>
      <w:r>
        <w:rPr>
          <w:b/>
        </w:rPr>
        <w:t xml:space="preserve">Quelle: </w:t>
      </w:r>
      <w:r>
        <w:t>https://mcp.opencaselaw.ch/entscheid/bvger_E-4453_2007</w:t>
      </w:r>
    </w:p>
    <w:p>
      <w:r>
        <w:t>FR: TAF E-4453/2007 du 5 mars 2010</w:t>
      </w:r>
    </w:p>
    <w:p>
      <w:r>
        <w:t>IT: TAF E-4453/2007 del 5 marzo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 Partant, le Tribunal est compétent pour examiner la présente cause.</w:t>
      </w:r>
    </w:p>
    <w:p>
      <w:r>
        <w:rPr>
          <w:b/>
        </w:rPr>
        <w:t>E. 1.2</w:t>
      </w:r>
    </w:p>
    <w:p>
      <w:r>
        <w:t>Le recourant a pris part à la procédure devant l'autorité inférieure. Il est spécialement atteint par la décision attaquée et a un intérêt digne de protection à son annulation ou à sa modification. Il a donc qualité pour recourir (art. 48 PA). Présenté dans la forme et le délai prescrits par la loi, le recours est recevable (art. 50 et 52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3.1.1 Selon la jurisprudence fondée sur l'art. 3 LAsi, la reconnaissance de la qualité de réfugié implique que le requérant d'asile ait été personnellement, d'une manière ciblée, exposé à des préjudices sérieux (autrement dit d'une certaine intensité) ou craigne à juste titre de l'être dans un avenir prévisible en cas de retour dans son pays d'origine, en raison de motifs liés à la race, la religion, la nationalité, l'appartenance à un groupe social déterminé, ou à des opinions politiques, sans avoir pu ou sans pouvoir trouver de protection adéquate ou appropriée dans son pays d'origine (Arrêts du Tribunal administratif fédéral [ATAF] 2008/12 consid. 5.1 et 5.3 p. 154s., ATAF 2007/31 consid. 5.2 p. 379). 3.1.2 En l'occurrence, l'ODM a estimé que l'agression que le recourant alléguait avoir subie à Kirkouk n'était pas ciblée contre lui et que le fait qu'il en eût été victime était à attribuer au hasard. Dans son écrit du 6 juillet 2007, le recourant n'a pas opposé d'argument à cette appréciation de l'ODM. On peut même se demander s'il conteste véritablement le refus de reconnaissance de sa qualité de réfugié, puisqu'il demande expressément à être admis provisoirement en Suisse, en raison de la situation sécuritaire régnant en Irak. Toutefois, même en admettant que le recourant a également conclu, de manière implicite, à la reconnaissance de sa qualité de réfugié et à l'octroi de l'asile, le Tribunal considère que c'est à bon droit que l'ODM a nié la pertinence des faits allégués. Le recourant n'a fait valoir aucun élément pouvant constituer un indice que les terroristes le recherchaient personnellement, en entrant chez le barbier, où ils s'en sont d'abord pris à ce dernier (cf. pv de l'audition sommaire p. 7 et de l'audition sur les motifs p. 6). Il n'a pas non plus rendu vraisemblable l'existence de faits amenant à la conclusion qu'il devait s'attendre à une nouvelle attaque de ses agresseurs à Kirkouk ni, a fortiori, à Suleymania. Le recourant a déclaré ne pas s'être senti en sécurité après sa sortie de l'hôpital. Cette peur subjective est explicable de la part d'une personne victime de tels actes de violence. Cependant, objectivement, aucun élément ne permet de conclure que le recourant aurait été et serait encore personnellement exposé à de sérieux préjudices, sinon par le fait, comme lors de cette première agression, d'un hasard malheureux. C'est donc à bon droit que l'ODM a conclu à l'absence de crainte objective d'une persécution ciblée, au sens de l'art. 3 LAsi, en cas de retour du recourant dans son pays d'origine. Enfin, les préjudices que le recourant dit avoir subi en tant que Kurde sunnite durant son séjour à Kirkouk, notamment le mépris de certains Arabes qui fréquentaient le restaurant où il travaillait (cf. pv de l'audition sur les motifs p. 3), n'avaient pas l'intensité suffisante pour être assimilés à de sérieux préjudices au sens de l'art. 3 LAsi. 3.1.3 Au vu de ce qui précède, la qualité de réfugié ne peut être reconnue au recourant.</w:t>
      </w:r>
    </w:p>
    <w:p>
      <w:r>
        <w:rPr>
          <w:b/>
        </w:rPr>
        <w:t>E. 3.2</w:t>
      </w:r>
    </w:p>
    <w:p>
      <w:r>
        <w:t>Il s'ensuit que le recours, pour autant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En l'occurrence, l'exécution du renvoi ne contrevient pas au principe de non-refoulement de l'art. 5 LAsi. Comme développé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186s; cf. également arrêt de la Cour européenne des droits de l'homme en l'affaire en l'affaire F.H. c/Suède du 20 janvier 2009, requête n° 32621/06 et en l'affaire Saadi c/Italie du 28 février 2008, requête n° 37201/06).</w:t>
      </w:r>
    </w:p>
    <w:p>
      <w:r>
        <w:rPr>
          <w:b/>
        </w:rPr>
        <w:t>E. 6.3.2</w:t>
      </w:r>
    </w:p>
    <w:p>
      <w:r>
        <w:t>En l'occurrence, le Tribunal estime que le dossier ne fait pas apparaître un risque de traitement illicite au sens développé ci-dessus. Il est notoire que la situation sécuritaire dans certaines régions d'Irak est précaire et préoccupante, en particulier dans la ville disputée de Kirkouk (cf. arrêt du Tribunal administratif fédéral du 3 décembre 2009 en la cause E-5200/2006). Cependant, on ne saurait affirmer qu'il règne dans la province de Kirkouk une situation de violence exceptionnelle, d'une extrême intensité, au sens évoqué ci-dessus. En outre, l'exécution du renvoi étant prononcée vers l'Irak, il convient de prendre en compte la situation dans l'ensemble du pays. Or, force est de constater que la situation sécuritaire régnant dans les provinces du nord et plus particulièrement à Suleymania, n'est pas telle que l'exécution du renvoi du recourant pourrait constituer un traitement contraire aux obligations de la Suisse sur le plan du droit international. On reviendra plus loin sur la question de l'exigibilité de l'exécution du renvoi au regard de la situation régnant dans la province de Kirkouk (cf. consid. 7 ci-dessous).</w:t>
      </w:r>
    </w:p>
    <w:p>
      <w:r>
        <w:rPr>
          <w:b/>
        </w:rPr>
        <w:t>E. 6.4</w:t>
      </w:r>
    </w:p>
    <w:p>
      <w:r>
        <w:t>Au vu de ce qui précède,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Le Tribunal s'est livré, dans plusieurs arrêts de principe, à une analyse circonstanciée de la situation régnant en Irak, plus particulièrement dans le centre de l'Irak, la ville de Kirkouk n'étant pas comprise dans cette analyse (cf. ATAF 2008/12), ainsi que dans les provinces kurdes du nord de l'Irak (cf. ATAF 2008/4 p. 31ss et 2008/5 p. 57ss). Dans un arrêt plus récent, il a également examiné la situation particulière régnant à Kirkouk (cf. arrêt précité du 3 décembre 2009 en la cause D- 5200/2006). Il est arrivé à la conclusion que cette dernière est marquée par des violences et une instabilité importantes, en raison notamment du statut encore disputé de la province. Aussi, il ne serait pas raisonnablement exigible de renvoyer le recourant dans son pays d'origine s'il n'avait pas d'autre opportunité que de retourner à Kirkouk. Cependant, le recourant a déclaré avoir passé quasiment toute son enfance ainsi que son adolescence à Suleymania, d'où vient sa mère. Pratiquement tous ses oncles et tantes maternels vivent dans cette province avec leur famille (cf. pv de l'audition sur les motifs p. 4). Si l'on se réfère aux déclarations faites lors de ses auditions, il n'a apparemment rencontré aucune difficulté administrative pour s'établir à nouveau à Suleymania en décembre 2006. Il est notoire que les autorités kurdes des provinces du nord de l'Irak peuvent, dans certains cas, créer des obstacles à l'installation de Kurdes provenant des territoires ou provinces disputées comme Kirkouk, qu'elles ne souhaitent pas voir se vider de leur population kurde (cf. par ex. UK Border agency, Country of Origin Information Report, Kurdistan regional government area of Iraq, 16 septembre 2009 ; cf. aussi ATAF 2008/5 précité consid. 7.5.8 p. 72). Cependant, il ne ressort aucunement du dossier que sa provenance de Kirkouk aurait constitué un obstacle dans le cas du recourant, ce probablement en raison du fait qu'il a été scolarisé à Suleymania, qu'une bonne partie de sa famille, du côté maternel, y réside et qu'en définitive il n'a vécu, hormis sa petite enfance, qu'un peu plus de deux ans à Kirkouk. Si le recourant a quitté Suleymania, c'est surtout parce que ses père et mère lui manquaient et que les conditions de vie n'y étaient pas optimales (cf. pv de l'audition sommaire p. 9), non parce qu'il n'avait pas le droit de s'y établir. Il y a pour le moins trouvé le moyen d'assurer sa subsistance et de se loger. Le Tribunal retient ainsi que le recourant est jeune, d'ethnie kurde, célibataire, au bénéfice d'une certaine expérience professionnelle ; par ailleurs, il n'a pas déclaré souffrir de problèmes de santé particuliers et dispose d'un certain réseau social et familial dans la région de Suleymania. Dans ces conditions, se référant à la jurisprudence précitée (ATAF 2008/5 p. 57ss), le Tribunal arrive à la conclusion que l'exécution du renvoi n'est pas de nature, dans le cas d'espèce, à mettre concrètement en danger le recourant.</w:t>
      </w:r>
    </w:p>
    <w:p>
      <w:r>
        <w:rPr>
          <w:b/>
        </w:rPr>
        <w:t>E. 7.3</w:t>
      </w:r>
    </w:p>
    <w:p>
      <w:r>
        <w:t>Au vu de ces circonstances, l'exécution de son renvoi doit être considérée comme raisonnablement exigible, au sens de l'art. 83 al. 4 LEtr.</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10.1</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10.2</w:t>
      </w:r>
    </w:p>
    <w:p>
      <w:r>
        <w:t>Cependant, le recourant a demandé lors du dépôt du recours à être dispensé des frais de procédure et a prouvé son indigence. Dès lors que ses conclusions ne pouvaient pas être considérées comme, d'emblée, vouées à l'échec, il remplit les conditions de l'art. 65 al. 1 PA. Partant, sa demande doit être admise.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