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E-4452/2024 vom 17. Oktober 2024</w:t>
      </w:r>
    </w:p>
    <w:p>
      <w:r>
        <w:t>Bundesverwaltungsgericht, 2024-10-17, DE</w:t>
      </w:r>
    </w:p>
    <w:p>
      <w:r>
        <w:rPr>
          <w:b/>
        </w:rPr>
        <w:t xml:space="preserve">Quelle: </w:t>
      </w:r>
      <w:r>
        <w:t>https://mcp.opencaselaw.ch/entscheid/bvger_E-4452_2024</w:t>
      </w:r>
    </w:p>
    <w:p>
      <w:r>
        <w:t>FR: TAF E-4452/2024 du 17 octobre 2024</w:t>
      </w:r>
    </w:p>
    <w:p>
      <w:r>
        <w:t>IT: TAF E-4452/2024 del 17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E-4452/2024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Das vorliegende Beschwerdeverfahren wird mit dem Beschwerdeverfah- ren der Mutter der Beschwerdeführerin, welches beim Bundesverwaltungs- gericht unter der Verfahrensnummer E-4453/2024 geführt wird, koordiniert behandelt.</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Gestützt auf Art. 111a Abs. 1 AsylG wurde auf die Durchführung eines Schriftenwechsels verzichtet.</w:t>
      </w:r>
    </w:p>
    <w:p>
      <w:r>
        <w:rPr>
          <w:b/>
        </w:rPr>
        <w:t>E. 4.1</w:t>
      </w:r>
    </w:p>
    <w:p>
      <w:r>
        <w:t>Die Beschwerdeführerin äusserte sich in einem der Rechtsmittelein- gabe beigelegten persönlichen Schreiben vom 8. Juli 2024 dahingehend, dass sie in der Anhörung nicht in der Lage gewesen sei, ihre Asylgründe darzulegen. Das Verhalten der dolmetschenden und sachbearbeitenden Personen habe sie nervös gemacht und daran gehindert, sich auszudrü- cken. Diese formelle Rüge ist vorab zu beurteilen, da sie sich allenfalls dazu eignet, eine Kassation der vorinstanzlichen Verfügung zu bewirken (vgl. BVGE 2013/34 E. 4.2; KÖLZ/HÄNER/BERTSCHI, Verwaltungsverfahren und Verwaltungsrechtspflege des Bundes, 3. Aufl. 2013, Rz. 1043 ff. m.w.H.).</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w:t>
      </w:r>
    </w:p>
    <w:p>
      <w:r>
        <w:t>E-4452/2024 Seite 6 Sachumstände berücksichtigt werden (vgl. KÖLZ/HÄNER/BERTSCHI, a.a.O.,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und insbesondere dem Anhörungs- protokoll keine Hinweise entnehmen, dass der Befragungsstil oder das An- hörungsklima die Beschwerdeführerin daran gehindert hätten, ihre Asyl- gründe umfassend darzulegen. Zudem war ihre Rechtsvertretung anwe- send und hätte die Möglichkeit gehabt, zusätzliche Fragen zu stellen oder anderweitig zu intervenieren, wenn sie dies zwecks richtiger und vollstän- diger Erstellung des Sachverhalts respektive zwecks korrekter Wahrneh- mung des Anspruchs der Beschwerdeführerin auf rechtliches Gehör für notwendig erachtet hätte. Die Beschwerdeführerin konnte sich demnach entgegen ihren Ausführungen umfassend zu ihren Asylgründen äussern.</w:t>
      </w:r>
    </w:p>
    <w:p>
      <w:r>
        <w:rPr>
          <w:b/>
        </w:rPr>
        <w:t>E. 4.4</w:t>
      </w:r>
    </w:p>
    <w:p>
      <w:r>
        <w:t>Der Sachverhalt wurde nach dem Gesagten durch die Vorinstanz rechtsgenüglich erstellt und es ist auch keine Gehörsverletzung ersichtlich. Die formelle Rüge erweist sich demnach als unbegründet, weshalb keine Veranlassung besteht, die angefochtene Verfügung aus diesem Grund auf- zuheben und die Sache an das SEM zurückzuweisen.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E-4452/2024 Seite 7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weist in der angefochtenen Verfügung darauf hin, dass für die Anerkennung der Flüchtlingseigenschaft eine im Zeitpunkt des Asy- lentscheids aktuelle Verfolgung vorliegen müsse, und führt in diesem Zu- sammenhang aus, dass das Zusammenleben mit dem Vater und die damit einhergehende Gewalterfahrung der Beschwerdeführerin, so bedauerlich diese auch sei, der Vergangenheit angehöre. So habe die Beschwerdefüh- rerin selbst ausgesagt, dass der Vater sie zuletzt eineinhalb Jahre vor ih- rem Auszug geschlagen habe und sie nach der Trennung der Eltern keinen Kontakt mehr zu ihm gehabt habe. Sie habe ihn lediglich anlässlich der Scheidung der Eltern sowie ein weiteres Mal von Weitem gesehen. Es liege daher weder eine aktuelle und andauernde Verfolgung vor noch gäbe es Hinweise auf eine begründete Furcht vor einer zukünftigen Verfolgung. Nur ergänzend sei auf das Referenzurteil des BVGer E-1948/2018 vom 12. Juni 2018 zu verweisen, welches den türkischen Staat, insbesondere in städtischen Gebieten (…) bei Übergriffen durch Dritte grundsätzlich als schutzwillig und -fähig erachte. Betreffend das Vorbringen der Beschwerdeführerin sie werde als Angehö- rige der kurdischen und alevitischen Bevölkerung von den türkischen Be- hörden schikaniert und benachteiligt, sei ferner festzustellen, es sei allge- mein bekannt, dass Angehörige der kurdischen Bevölkerung solchen Prob- lemen ausgesetzt sein können. Dabei handle es sich jedoch nicht um ernst- hafte Nachteile im Sinne des Asylgesetzes, die einen Verbleib im Heimat- land verunmöglichen oder unzumutbar erschweren würden. Dasselbe gelte bezüglich des Problems, aufgrund der politischen Aktivitäten von Fa- milienmitgliedern, keine staatliche Stelle antreten zu können. Im Übrigen habe die Beschwerdeführerin ihre letzte Anstellung aus eigenem Willen verlassen, um sich um ihre Mutter kümmern zu können.</w:t>
      </w:r>
    </w:p>
    <w:p>
      <w:r>
        <w:t>E-4452/2024 Seite 8</w:t>
      </w:r>
    </w:p>
    <w:p>
      <w:r>
        <w:rPr>
          <w:b/>
        </w:rPr>
        <w:t>E. 6.2</w:t>
      </w:r>
    </w:p>
    <w:p>
      <w:r>
        <w:t>Die Beschwerdeführerin wendet in ihrer Rechtsmitteleingabe dagegen ein, dass die vom Vater ausgehende Gefahr nach wie vor aktuell sei und aufgrund ihrer Intensität als rechtserheblicher Asylgrund anzusehen sei. Sie sei von ihm ständig misshandelt worden, unter anderem weil ihre Mut- ter stets ihre engste Bezugsperson gewesen sei. Nachdem sie gemeinsam mit dieser zu ihrem Onkel mütterlicherseits gezogen sei, habe der Vater sodann begonnen, auch sie mit dem Tod zu bedrohen. Selbst nach der Scheidung der Eltern und ihrer Ausreise aus der Türkei habe er die Be- schwerdeführerin und ihre Mutter ständig über gemeinsame Verwandte und Bekannte bedroht. Wie sie selbst erlebt habe, sähen sich Frauen, wel- che auf türkischen Polizeiwachen Schutz suchten, von männlichen Polizei- beamten mit grossen Vorurteilen konfrontiert. Weiter sei zu erwähnen, dass seit dem Austritt der Türkei aus der Istanbul-Konvention die Zahl von Ge- walttaten gegen Frauen und der Femizide in der Türkei erheblich angestie- gen sei. Dies zeige, dass der türkische Staat weder willig noch fähig sei, Frauen zu schützen. Ferner seien die Sicherheitsvorkehrungen in den Frauenhäusern der Türkei so unzureichend, dass es unrealistisch und ab- wegig sei zu erwarten, dass Frauen in diesen Unterkünften Schutz suchen würden. Es sei darauf hinzuweisen, dass die Beschwerdeführerin und ihre Mutter vor ihrer Flucht aus der Türkei alles in ihrer Macht Stehende getan hätten, um der Gewalt des Vaters zu entkommen, leider jedoch nicht in der Lage gewesen seien, die Drohungen zu stoppen. Folglich hätten sie keine andere Wahl gehabt, als aus der Türkei zu fliehen. Im Übrigen leide sie (die Beschwerdeführerin) aufgrund der erlebten Gewalt unter psychischen Problemen und es wäre aufgrund ihres schlechten Gesundheitszustands, der auf die Verfolgung durch den Vater zurückzuführen sei, unzumutbar, sie in die Türkei wegzuweisen. Zudem sei es unwahrscheinlich, dass sie in einem derart schlechten psychischen Zustand in der Lage wäre, ihr tägli- ches Leben in der Türkei selbst zu organisieren. Mit der Beschwerdeschrift wurde eine Kopie der I._______ Empfehlung vom (…) 2024 eingereicht, welcher zu entnehmen ist, dass die Beschwer- deführerin im Rahmen des Angebots I._______ ([…]) am Kurs (…) teilge- nommen habe. Die Abschlussuntersuchung habe ergeben, dass bei ihr eine fortgehend schwere Belastung vorliege. Aufgrund dessen werde eine erweiterte psychologische Abklärung und gegebenenfalls eine Überwei- sung zu einem oder einer Fachspezialist/in empfohlen. Zudem wurde mit der Beschwerde ein persönlicher Brief der Beschwerdeführerin vom 8. Juli 2024 zu den Akten gereicht. Wie bereits bei den formellen Rügen erwähnt, äusserte sie sich in diesem zu den von ihr wahrgenommenen Problemen anlässlich ihrer Asylanhörung (vgl. E. 4.1 hiervor). Ferner schilderte sie</w:t>
      </w:r>
    </w:p>
    <w:p>
      <w:r>
        <w:t>E-4452/2024 Seite 9 darin, ihr Vater habe sowohl ihr als auch ihrer Mutter und ihrem Bruder Gewalt angetan. Ihr Leben sei, seit sie denken könne, ein Albtraum gewe- sen und habe sie psychisch und physisch zerstört.</w:t>
      </w:r>
    </w:p>
    <w:p>
      <w:r>
        <w:rPr>
          <w:b/>
        </w:rPr>
        <w:t>E. 7.1</w:t>
      </w:r>
    </w:p>
    <w:p>
      <w:r>
        <w:t>Das Bundesverwaltungsgericht kommt nach Durchsicht der Akten zum Schluss, dass das SEM zu Recht zur Erkenntnis gelangt ist, die geltend gemachten Verfolgungsvorbringen würden den Anforderungen an die Flüchtlingseigenschaft nicht genügen. Die Ausführungen auf Beschwerde- ebene sind nicht geeignet, zu einer anderen Beurteilung zu gelangen.</w:t>
      </w:r>
    </w:p>
    <w:p>
      <w:r>
        <w:rPr>
          <w:b/>
        </w:rPr>
        <w:t>E. 7.2.1</w:t>
      </w:r>
    </w:p>
    <w:p>
      <w:r>
        <w:t>Es ist nicht zu verkennen, dass die Beschwerdeführerin und ihre Mutter durch den Vater physische Gewalt erlitten haben. Vor dem Hinter- grund ihrer Erlebnisse ist es – aus subjektiver Sicht – zwar verständlich, dass die Beschwerdeführerin sich davor fürchtet, ihr Vater könne erneut Gewalt gegen sie oder ihre Mutter anwenden. Sie hat anlässlich ihrer An- hörung jedoch selbst angegeben, dass ihr Vater sie das letzte Mal einein- halb Jahre vor der Trennung der Eltern geschlagen habe (A37 F69) und sie nach dem Umzug zu ihrem Onkel mütterlicherseits, abgesehen von der Scheidungsverhandlung, keinen Kontakt mehr zum Vater gehabt hätten, zumal sich der Vater ihnen nicht habe nähern können, weil sie von den Brüdern der Mutter beschützt worden seien (A37 F77 ff.). Dass sie nach der Trennung der Eltern vom Vater mit dem Tod bedroht worden sei und von diesen Drohungen über Verwandte und Bekannte erfahren habe, wird in der Beschwerdeschrift erstmals vorgebracht (Beschwerdeschrift S. 8 und 10). Dies stellt für sich alleine genommen jedoch noch kein genügen- der Hinweis für eine objektiv begründete Furcht dar. Aus objektiver Sicht bestehen somit keine konkreten Anhaltspunkte dafür, dass die Beschwer- deführerin zum heutigen Zeitpunkt noch eine ernsthafte Verfolgung durch ihren Vater zu befürchten hat.</w:t>
      </w:r>
    </w:p>
    <w:p>
      <w:r>
        <w:rPr>
          <w:b/>
        </w:rPr>
        <w:t>E. 7.2.2</w:t>
      </w:r>
    </w:p>
    <w:p>
      <w:r>
        <w:t>Das Bundesverwaltungsgericht hat in gefestigter Praxis die grund- sätzliche Schutzbereitschaft und Schutzfähigkeit des türkischen Staates im Umgang mit Opfern geschlechtsspezifischer Gewalt bejaht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w:t>
      </w:r>
    </w:p>
    <w:p>
      <w:r>
        <w:t>E-4452/2024 Seite 10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Urteile BVGer E-1948/2018 vom 12. Juni 2018 E. 5.2 [als Re- ferenzurteil publiziert]; D-2682/2020 vom 12. Januar 2023 E. 6.2; D-4974/2021 vom 19. Dezember 2022 E. 6.1.3; D-167/2022 vom 30. Mai 2022 E. 6.2; D-4443/2020 vom 26. November 2021 E. 8.1; je m.w.H.). Der Beschwerdeführerin ist es demnach zuzumuten, sich bei sie selbst oder ihre Mutter betreffenden allfälligen erneuten Bedrohungen und Beläs- tigungen durch den Vater an die türkischen Behörden zu wenden, wobei es ihr möglich ist, sich – sollte sie sich auf einem Polizeiposten nicht ernst- genommen fühlen – an einen anderen Polizeiposten (…) zu wenden und ihre Rechte nötigenfalls mit der Hilfe eines Anwalts respektive einer Anwäl- tin durchzusetzen. Auch ist davon auszugehen, dass sie bei ihrer Rückkehr in die Türkei in dieser Hinsicht weiterhin auf die Unterstützung ihrer Familie, insbesondere ihres Onkels, bei dem sie während ungefähr eineinhalb Jah- ren vor ihrer Ausreise gewohnt hat, zählen kann und sich alternativ zumin- dest vorübergehenden – allenfalls gemeinsam mit ihrer Mutter – auch in eine andere Stadt begeben könnte.</w:t>
      </w:r>
    </w:p>
    <w:p>
      <w:r>
        <w:rPr>
          <w:b/>
        </w:rPr>
        <w:t>E. 7.3</w:t>
      </w:r>
    </w:p>
    <w:p>
      <w:r>
        <w:t>Soweit die Beschwerdeführerin geltend macht, als kurdische Alevitin Benachteiligungen im Alltag ausgesetzt gewesen zu sein, ist in Überein- stimmung mit dem SEM festzuhalten, dass die geschilderten Probleme – ohne diese zu negieren oder zu bagatellisieren – in ihrer Intensität nicht über die Nachteile hinausgehen, welche weite Teile der kurdischen und alevitischen Bevölkerung in der Türkei in ähnlicher Weise treffen und ge- mäss gefestigter Praxis für sich allein nicht zur Anerkennung der Flücht- lingseigenschaft führen (vgl. etwa Urteil BVGer E-182/2021 vom 30. April 2024 E. 6.1). Im Übrigen gelten für die Annahme einer Kollektivverfolgung praxisgemäss sehr hohe Anforderungen (vgl. BVGE 2014/32 E. 7.2 und 2013/21 E. 9.1), welche im Falle der Kurden und Aleviten in der Türkei nicht erfüllt sind; dies auch unter Berücksichtigung der jüngsten politischen Ent- wicklungen im Land (vgl. statt vieler Urteile BVGer E-182/2021 vom 30. Ap- ril 2024 E. 6.1; D-5067/2023 vom 29. April 2024 E. 7.4; E-445/2024 vom 4. April 2024 E. 6.3 und E-90/2023 vom 14. März 2023 E. 7.4). Auch das Vorbringen der Beschwerdeführerin, sie habe, weil Mitglieder ihrer Familie politisch aktiv gewesen seien, keine staatliche Stelle erhalten, erreicht die Intensität für eine flüchtlingsrelevante Verfolgung im Sinne von Art. 3 AsylG nicht. So scheint ihr auch in ihrem angestammten Bereich ein berufliches</w:t>
      </w:r>
    </w:p>
    <w:p>
      <w:r>
        <w:t>E-4452/2024 Seite 11 Fortkommen in der Türkei, trotz der politischen Vergangenheit ihrer Fami- lie, nicht gänzlich unmöglich, gab sie anlässlich ihrer Anhörung doch selbst an, während eines Jahres als (…) im H._______ tätig gewesen zu sein. Obwohl ihr nach ihrer befristeten Anstellung eine Weiterbeschäftigung an- geboten worden sei, habe sie sich im (…) 2022 dagegen entschieden, um ihre psychisch kranke Mutter unterstützen zu können.</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in die Tür- kei ernsthafte Nachteile im Sinne von Art. 3 Abs. 2 AsylG zu gegenwärtigen hätte. Demnach hat das SEM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E-4452/2024 Seite 12</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28. Februar 2008, Grosse Kammer 37201/06, § 124 ff. m.w.H.). Nach den vorstehenden Ausführungen gelingt ihr das nicht. Auch die allgemeine Menschenrechtssituation im Heimatstaat lässt den Wegwei- 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w:t>
      </w:r>
    </w:p>
    <w:p>
      <w:r>
        <w:t>E-4452/2024 Seite 13 aufgrund von Situationen wie Krieg, Bürgerkrieg, allgemeiner Gewalt und medizinischer Notlage konkret gefährdet sind. Wird eine konkrete Gefähr- dung festgestellt, ist – unter Vorbehalt von Art. 83 Abs. 7 AIG – die vorläu- fige Aufnahme zu gewähren.</w:t>
      </w:r>
    </w:p>
    <w:p>
      <w:r>
        <w:rPr>
          <w:b/>
        </w:rPr>
        <w:t>E. 9.3.1</w:t>
      </w:r>
    </w:p>
    <w:p>
      <w:r>
        <w:t>Auch unter Berücksichtigung des Wiederaufflammens des türki- schen Konflikts sowie der bewaffneten Auseinandersetzung zwischen der PKK (Partiya Karkerên Kurdistanê, Arbeiterpartei Kurdistans)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der vorliegend nicht relevanten Ausnahme der Provinzen Hakkari und Şırnak [vgl. dazu BVGE 2013/2 E. 9.6]) auszugehen (vgl. Urteil BVGer E- 5566/2020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Be- schwerdeführerin stammt nicht aus einer der genannten Provinzen, in wel- che ein Vollzug der Wegweisung aufgrund des Erdbebens unzumutbar wäre.</w:t>
      </w:r>
    </w:p>
    <w:p>
      <w:r>
        <w:rPr>
          <w:b/>
        </w:rPr>
        <w:t>E. 9.3.2</w:t>
      </w:r>
    </w:p>
    <w:p>
      <w:r>
        <w:t>Auch in individueller Hinsicht sind keine Gründe ersichtlich, die ge- gen die Zumutbarkeit des Wegweisungsvollzugs sprechen. Die Beschwer- deführerin verfügt über eine Ausbildung als (…) (A37 F32). Vor ihrer Flucht arbeitete sie zuerst in einem (…) und anschliessend in einem (…) (A37 F35). Eigenen Angaben zufolge sei ihr in diesem (…) nach ihrer befristeten Anstellung eine Weiterbeschäftigung angeboten worden (A37 F83), wes- halb sie sich nach der Rückkehr in die Türkei in dieser Einrichtung allenfalls wieder um eine Beschäftigung bemühen könnte. Zudem erhielt sie Unter- stützung von ihrem Onkel in B._______, bei welchem sie gemeinsam mit ihrer Mutter wohnen konnte. Es ist davon auszugehen, dass die Beschwer- deführerin nach der Rückkehr in die Türkei zu ihrem Onkel nach B._______, wo auch weitere Geschwister ihrer Mutter leben (A37 F77), zurückkehren kann und somit über ein tragfähiges familiäres Beziehungs- netz in der Türkei verfügt.</w:t>
      </w:r>
    </w:p>
    <w:p>
      <w:r>
        <w:t>E-4452/2024 Seite 14</w:t>
      </w:r>
    </w:p>
    <w:p>
      <w:r>
        <w:rPr>
          <w:b/>
        </w:rPr>
        <w:t>E. 9.3.3</w:t>
      </w:r>
    </w:p>
    <w:p>
      <w:r>
        <w:t>In Bezug auf die Gesundheit der Beschwerdeführerin ist festzustel- len, dass sie gemäss den im Recht liegenden medizinischen Unterlagen (vgl. hierzu Bst. A.d hiervor) an einer (…) leidet. Zudem liege gemäss der mit der Beschwerde eingereichten I._______ Empfehlung vom (…) 2024 eine fortgehend schwere Belastung vor, weshalb eine erweiterte psycholo- gische Abklärung und gegebenenfalls eine Überweisung zu einem Fach- spezialist respektive einer Fachspezialistin empfohlen werde. Gemäss ei- genen Aussagen leide sie an (…) und (…) (A16). Ohne die genannten ge- sundheitlichen Probleme der Beschwerdeführerin zu verkennen, sprechen diese nicht für eine medizinische Notlage, aufgrund welcher von der Unzu- mutbarkeit des Wegweisungsvollzugs auszugehen wäre (vgl. BVGE 2011/50 E. 8.3 und 2009/2 E. 9.3.2, je m.w.H.). Die Türkei verfügt denn auch grundsätzlich über ein funktionierendes Gesundheitssystem, das ins- besondere in grösseren Städten (…) dem europäischen Standard ent- spricht (vgl. Urteil BVGer D-1554/2022 vom 29. Juli 2022 E. 9.3.4 m.w.H.).</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Bei diesem Ausgang des Verfahrens wären die Kosten grundsätzlich der unterliegenden Beschwerdeführerin aufzuerlegen (Art. 63 Abs. 1 VwVG). Da ihre Rechtsbegehren – ex ante betrachtet – jedoch nicht als aussichtslos betrachtet werden können und von ihrer prozessualen Bedürf- tigkeit auszugehen ist, ist das Gesuch um Gewährung der unentgeltlichen</w:t>
      </w:r>
    </w:p>
    <w:p>
      <w:r>
        <w:t>E-4452/2024 Seite 15 Prozessführung gemäss Art. 65 Abs. 1 VwVG gutzuheissen. Es sind somit keine Verfahrenskosten zu erheben.</w:t>
      </w:r>
    </w:p>
    <w:p>
      <w:r>
        <w:rPr>
          <w:b/>
        </w:rPr>
        <w:t>E. 11.2</w:t>
      </w:r>
    </w:p>
    <w:p>
      <w:r>
        <w:t>Das Gesuch um Gewährung der unentgeltlichen Rechtsverbeistän- dung ist ebenfalls gutzuheissen (Art. 102m Abs. 1 Bst. a AsylG) und der Beschwerdeführerin ist antragsgemäss der rubrizierte Rechtsvertreter als amtlicher Rechtsbeistand beizuordnen. Diesem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E-4453/2024 der Mutter der Beschwerdefüh- rerin auszurichtenden Honorars ist dem amtlichen Rechtsbeistand durch das Gericht für das vorliegende Verfahren ein Honorar in der Höhe von Fr. 750.– zuzusprechen.</w:t>
      </w:r>
    </w:p>
    <w:p>
      <w:r>
        <w:t>E-4452/2024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