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E-4449/2018 vom 28. August 2018</w:t>
      </w:r>
    </w:p>
    <w:p>
      <w:r>
        <w:t>Bundesverwaltungsgericht, 2018-08-28, DE</w:t>
      </w:r>
    </w:p>
    <w:p>
      <w:r>
        <w:rPr>
          <w:b/>
        </w:rPr>
        <w:t xml:space="preserve">Quelle: </w:t>
      </w:r>
      <w:r>
        <w:t>https://mcp.opencaselaw.ch/entscheid/bvger_E-4449_2018</w:t>
      </w:r>
    </w:p>
    <w:p>
      <w:r>
        <w:t>FR: TAF E-4449/2018 du 28 août 2018</w:t>
      </w:r>
    </w:p>
    <w:p>
      <w:r>
        <w:t>IT: TAF E-4449/2018 del 28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vorliegend verzichtet (vgl. Art. 111a Abs. 1 AsylG).</w:t>
      </w:r>
    </w:p>
    <w:p>
      <w:r>
        <w:rPr>
          <w:b/>
        </w:rPr>
        <w:t>E. 2.3</w:t>
      </w:r>
    </w:p>
    <w:p>
      <w:r>
        <w:t>Die Beschwerde in Asylsachen hat von Gesetzes wegen aufschiebende Wirkung (vgl. Art. 55 Abs. 1 VwVG i.V.m. Art. 42 AsylG). Der Antrag auf Gewährung der aufschiebenden Wirkung ist somit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die Haft und die Flucht aus dem Gefängnis nicht glaubhaft darlegt. Die diesbezüglichen Schilderungen seien unsubstanziiert und unlogisch. In der Nähe von E._______ gebe es nur ein Gefängnis namens "G._______". Entgegen den Angaben des Beschwerdeführers seien dessen Zellen oberirdisch und die Toiletten befänden sich im Gefängnisareal. Den Erhalt des Aufgebots für den Militärdienst habe er hinsichtlich des Orts der Aushändigung und dem Datum des Aufgebots widersprüchlich geschildert. Die Rekrutierung in den Nationaldienst sei daher unglaubhaft.</w:t>
      </w:r>
    </w:p>
    <w:p>
      <w:r>
        <w:rPr>
          <w:b/>
        </w:rPr>
        <w:t>E. 4.2</w:t>
      </w:r>
    </w:p>
    <w:p>
      <w:r>
        <w:t>Der Beschwerdeführer macht geltend, er habe die Haftumstände detailliert geschildert. Er sei nicht in einem Gefängnis, sondern in einem Militärstützpunkt in F._______ inhaftiert gewesen. Die Flucht sei möglich gewesen, weil es dunkel gewesen sei und die Wachen nicht alle gesehen hätten. Das Militäraufgebot sei ein Schreiben mit allgemeinen Informationen gewesen. Es habe nicht gestanden, wo er den Militärdienst leisten müsse. Das Aufgebot sei von der Verwaltung gekommen. Seine Mutter habe es zu Hause entgegengenommen. An der Befragung habe er nur gesagt, er sei in dieser Zeit Schüler gewesen, nicht dass er das Aufgebot auf dem Schulareal erhalten habe. Zu seiner illegalen Ausreise komme somit erschwerend hinzu, dass er in Haft gewesen sei, aus dieser Haft geflüchtet sei, ein Aufgebot für den Militärdienst erhalten habe und nach seiner Ausreise nach ihm gesucht worden sei.</w:t>
      </w:r>
    </w:p>
    <w:p>
      <w:r>
        <w:rPr>
          <w:b/>
        </w:rPr>
        <w:t>E. 5.1</w:t>
      </w:r>
    </w:p>
    <w:p>
      <w:r>
        <w:t>Dem Beschwerdeführer ist zuzugestehen, dass er anlässlich der Anhörung angab, er sei in einem Militärstützpunkt, auf welchem Soldaten ausgebildet worden seien, und nicht in einem Gefängnis inhaftiert gewesen. Indes sind seine Angaben dennoch widersprüchlich und nicht nachvollziehbar. So gab er an der Befragung an, die Ursache seiner Verhaftung seien eine Schlägerei und Sachbeschädigung an einer Abschlussfeier für Milizangehörige in B._______ gewesen. Anlässlich der Anhörung sprach er von einer Folkloreveranstaltung. Zur Haft gab er an, dass er in einem unterirdischen Raum eingesperrt gewesen sei und während seines ein Monat und 20 Tage dauernden Haftaufenthalts jeden Tag verhört und gefoltert worden sei. Als er eines Nachts zur Verrichtung der Notdurft mit etwa zehn weiteren Insassen ausserhalb des Militärareals gebracht worden sei, sei er in der Dunkelheit abgehauen. Es ist nicht nachvollziehbar, wieso die Bewacher einerseits den Beschwerdeführer in einem unterirdischen Raum festgehalten und engmaschig überwacht haben sollen, während sie andererseits das Risiko einer Flucht in Kauf genommen haben sollen, indem sie mehrere Insassen zugleich nachts bei schlechter Sicht zur Verrichtung der Notdurft ausserhalb des Militärareals führten. Die Angabe des Beschwerdeführers, er sei nach seiner Flucht wieder zwei Wochen in B._______ zur Schule gegangen, ist ebenso wenig nachvollziehbar. Wäre der Beschwerdeführer tatsächlich während der Haft jeden Tag gefoltert worden und geflüchtet, wäre er aus Angst vor einer Suche nach ihm und einer weiteren Verhaftung kaum in sein Heimatdorf zurückgekehrt und wieder zur Schule gegangen. Insgesamt ist der Vorinstanz zuzustimmen, dass der Beschwerdeführer die Haft und die anschliessende Flucht nicht glaubhaft darlegen konnte.</w:t>
      </w:r>
    </w:p>
    <w:p>
      <w:r>
        <w:rPr>
          <w:b/>
        </w:rPr>
        <w:t>E. 5.2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 Die Vorinstanz führte in ihrer Begründung aus, der Beschwerdeführer habe sich widersprüchlich zum Erhalt des Aufgebots für den Militärdienst geäussert. An der Befragung habe er angegeben, er habe das Aufgebot in der Schule erhalten. An den Anhörungen habe er hingegen gesagt, das Schreiben sei nach Hause geschickt beziehungsweise persönlich vorbeigebracht worden. Diesen Widerspruch erklärte der Beschwerdeführer damit, dass er an der Befragung erklärt habe, er habe das Schreiben während seiner Schulzeit und nicht auf dem Schulareal erhalten. In der Befragung antwortete der Beschwerdeführer auf die Frage, wo er das Aufgebot erhalten habe, es sei ihm übergeben worden, als er in der Schule gewesen sei. Auf die Frage nach seiner Reaktion auf den Erhalt des Aufgebots antwortete er, er sei nach Hause gegangen. Die Vorinstanz ist demnach zu Recht davon ausgegangen, dass er an der Befragung die Schule als Übergabeort des Aufgebots angegeben hat. Hinzu kommen weitere Widersprüche. Der Beschwerdeführer meinte anlässlich der Befragung, er habe das Aufgebot am 1. Februar 2015 erhalten. Anlässlich der Anhörungen gab er indes an, er habe das Aufgebot drei bis vier Tage vor seiner Ausreise im März 2015 erhalten. An der Befragung meinte er, er hätte sich am Tag nach Erhalt des Aufgebots, also am 2. Februar 2015, für den Militärdienst melden sollen, während er an den Anhörungen sagte, das Aufgebot habe kein Datum für das Einrücken in den Militärdienst enthalten. Aufgrund dieser Widersprüche konnte der Beschwerdeführer nicht glaubhaft machen, ein Aufgebot für den Militärdienst erhalten zu haben. Es ist somit davon auszugehen, dass der Beschwerdeführer von den eritreischen Behörden nicht als Dienstverweigerer angesehen wird.</w:t>
      </w:r>
    </w:p>
    <w:p>
      <w:r>
        <w:rPr>
          <w:b/>
        </w:rPr>
        <w:t>E. 5.3</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 Der Beschwerdeführer konnte weder die Inhaftierung noch einen konkreten Kontakt mit der eritreischen Militärverwaltung glaubhaft machen, womit nebst der illegalen Ausreise keine zusätzlichen Anknüpfungspunkte vorliegen, welche ihn in den Augen des eritreischen Regimes als missliebige Person erscheinen lassen könnten, beziehungsweise zu einer Schärfung seines Profils und dadurch zu einer flüchtlingsrechtlich relevanten Verfolgungsgefahr führen könnten. Dem Beschwerdeführer ist es somit nicht gelungen, eine relevante Verfolgungsgefahr im Sinne von Art. 3 respektive Art. 54 AsylG darzutun. Die Vorinstanz hat seine Flüchtlingseigenschaft zu Recht verneint.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Gemäss Art. 25 Abs. 3 BV, Art. 3 FoK und Art. 3 EMRK darf niemand der Folter oder unmenschlicher oder erniedrigender Strafe oder Behandlung unterworfen werden.</w:t>
      </w:r>
    </w:p>
    <w:p>
      <w:r>
        <w:rPr>
          <w:b/>
        </w:rPr>
        <w:t>E. 7.2.3</w:t>
      </w:r>
    </w:p>
    <w:p>
      <w:r>
        <w:t>Das Bundesverwaltungsgericht klärte im Koordinationsentscheid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7.2.4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7.2.5</w:t>
      </w:r>
    </w:p>
    <w:p>
      <w:r>
        <w:t>Aus den Akten ergeben sich keine weiteren Gründe für die Annahme der Unzulässigkeit des Wegweisungsvollzugs. Der Wegweisungsvollzug ist folglich als zulässig zu betrachten.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7.3.2</w:t>
      </w:r>
    </w:p>
    <w:p>
      <w:r>
        <w:t>Beim Beschwerdeführer handelt es sich um einen jungen, gesunden Mann mit einer elfjährigen Schulbildung. In seiner Heimat verfügt er über ein familiäres Beziehungsnetz (Eltern, Geschwister und Verwandte), mit dem er seit seiner Ausreise in Kontakt steht. Seine Familie ist in der Landwirtschaft tätig und konnte ihm die Ausreise finanzieren.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ausgewiesen ist, ist das Gesuch um Gewährung der unentgeltlichen Prozessführung gemäss Art. 65 Abs. 1 VwVG gutzuheissen. Es sind somit keine Verfahrenskosten zu erheben.</w:t>
      </w:r>
    </w:p>
    <w:p>
      <w:r>
        <w:rPr>
          <w:b/>
        </w:rPr>
        <w:t>E. 9.2</w:t>
      </w:r>
    </w:p>
    <w:p>
      <w:r>
        <w:t>Der Beschwerdeführer hat die rechtsgenüglichen Beschwerdeschrift offenbar selbst verfasst, wobei aus Form und Inhalt der Rechtsmitteleingabe ersichtlich ist, dass er über einen juristischen Beistand verfügt hat. Die Beiordnung eines amtlichen Rechtsbeistands (Art. 110a Abs. 1 AsylG), auf die der Beschwerdeführer eigentlich Anspruch hätte, würde folglich einen prozessualen Leerlauf darstellen. Der diesbezügliche Antrag ist daher abzuweisen (vgl. Urteil des BVGer E-4190/2016 E. 9 vom 7. September 2016).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