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E-4447/2018 vom 19. November 2019</w:t>
      </w:r>
    </w:p>
    <w:p>
      <w:r>
        <w:t>Bundesverwaltungsgericht, 2019-11-19, DE</w:t>
      </w:r>
    </w:p>
    <w:p>
      <w:r>
        <w:rPr>
          <w:b/>
        </w:rPr>
        <w:t xml:space="preserve">Quelle: </w:t>
      </w:r>
      <w:r>
        <w:t>https://mcp.opencaselaw.ch/entscheid/bvger_E-4447_2018</w:t>
      </w:r>
    </w:p>
    <w:p>
      <w:r>
        <w:t>FR: TAF E-4447/2018 du 19 novembre 2019</w:t>
      </w:r>
    </w:p>
    <w:p>
      <w:r>
        <w:t>IT: TAF E-4447/2018 del 19 novembre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 den praxisgemässen Anforderungen an das Glaubhaftmachen von Vorbringen BVGE 2015/3 E. 6.5.1 und 2012/5 E. 2.2).</w:t>
      </w:r>
    </w:p>
    <w:p>
      <w:r>
        <w:rPr>
          <w:b/>
        </w:rPr>
        <w:t>E. 6.1</w:t>
      </w:r>
    </w:p>
    <w:p>
      <w:r>
        <w:t>Die Vorinstanz kam in der angefochtenen Verfügung zum Schluss, die Vorbringen des Beschwerdeführers würden den Anforderungen an die Glaubhaftigkeit gemäss Art. 7 AsylG und denjenigen an die Flüchtlingseigenschaft gemäss Art. 3 AsylG nicht standhalten.</w:t>
      </w:r>
    </w:p>
    <w:p>
      <w:r>
        <w:rPr>
          <w:b/>
        </w:rPr>
        <w:t>E. 6.2</w:t>
      </w:r>
    </w:p>
    <w:p>
      <w:r>
        <w:t>Zur Begründung hielt sie fest, die Schilderungen des Beschwerdeführers zu seinen Inhaftierungen in den Jahren 2013 und 2015 seien vage und oberflächlich geblieben und er habe auch auf Nachfrage hin keine substantiierten, detaillierten Angaben machen können, sondern seine Antworten seien einsilbig und dergestalt gewesen, dass sie nicht darauf hindeuteten, er habe von etwas selbst Erlebtem berichtet. Zur Teilnahme an Demonstrationen und der anschliessenden Mitnahme durch das CID im Jahr 2015 habe er angegeben, sich nicht an Einzelheiten zu erinnern. Auf die Flucht aus dem Gewahrsam angesprochen, habe er angegeben, dies inzwischen vergessen zu haben. Darüber hinaus habe er sich in diverse Widersprüche verstrickt. An der BzP und zu Beginn der Anhörung habe er von mehreren telefonischen Drohungen gesprochen, später jedoch lediglich noch einen Anruf erwähnt und bestätigt, dies sei die einzige telefonische Bedrohung gewesen. Zudem habe er unterschiedliche Angaben zum Zeitpunkt der telefonischen Drohung(en) gemacht (Oktober 2013, Juli 2013, vor den Wahlen im September 2013). Was die Mitnahme durch das CID vom Sportplatz betreffe, habe er ebenfalls einen unterschiedlichen Zeitpunkt genannt. Seine Erklärung, er habe Schwierigkeiten, sich an Sachen zu erinnern, und sei bei der BzP nervös gewesen, sei als Ausflucht zu werten und vermöge den Widerspruch nicht zu erklären. Insbesondere, da mit den Wahlen - bei welchen er sich engagiert habe - ein klarer Referenzpunkt gegeben sei, und somit von ihm erwartet werden könne anzugeben, ob ein Ereignis vor oder nach den Wahlen eingetreten sei. Auch zum konkreten Ablauf habe er sich unvereinbar geäussert und die Summe, welche für seine Freilassung bezahlt worden sei, zweimal unterschiedlich beziffert. Seine Angaben zur Mitnahme im Jahr 2015 seien ebenfalls nicht stimmig. Da er seine Probleme ab Juni 2013 nicht glaubhaft habe machen können, sei davon auszugehen, dass er nach den mit seiner Mutter erlebten Befragungen und der einmaligen Anhaltung durch Soldaten bis zur Ausreise im Juni 2016 mehr als drei Jahre unbehelligt in Sri Lanka verbracht habe. Somit könne - ungeachtet der Frage, ob die mit seiner Mutter erlebten Ereignisse eine asylbeachtliche Intensität erreichten - nicht von einem kausalen Zusammenhang zwischen den Erlebnissen und der Ausreise gesprochen werden.</w:t>
      </w:r>
    </w:p>
    <w:p>
      <w:r>
        <w:rPr>
          <w:b/>
        </w:rPr>
        <w:t>E. 6.3</w:t>
      </w:r>
    </w:p>
    <w:p>
      <w:r>
        <w:t>Auch die Prüfung anhand sogenannter Risikofaktoren ergebe, dass kein begründeter Anlass zu Annahme bestehe, er werde bei einer Rückkehr nach Sri Lanka mit beachtlicher Wahrscheinlichkeit und in absehbarer Zukunft asylrelevanten Verfolgungsmassnahmen ausgesetzt sein.</w:t>
      </w:r>
    </w:p>
    <w:p>
      <w:r>
        <w:rPr>
          <w:b/>
        </w:rPr>
        <w:t>E. 6.4</w:t>
      </w:r>
    </w:p>
    <w:p>
      <w:r>
        <w:t>In der Vernehmlassung hielt die Vorinstanz ergänzend fest, der Beschwerdeführer habe die Mitnahme im Jahr 2013, wovon die Narben stammen sollten, nicht glaubhaft schildern können. Narben stellten zwar einen Risikofaktor dar, den Akten seien aber keine Hinweise zu entnehmen, dass die Narben des Beschwerdeführers nicht schon bei der Ausreise aus Sri Lanka vorhanden gewesen seien. Es sei demnach darauf hinzuweisen, dass allfällige zum Zeitpunkt der Ausreise bestehenden Risikofaktoren kein Verfolgungsinteresse der sri-lankischen Behörden auszulösen vermocht hätten.</w:t>
      </w:r>
    </w:p>
    <w:p>
      <w:r>
        <w:rPr>
          <w:b/>
        </w:rPr>
        <w:t>E. 7.1</w:t>
      </w:r>
    </w:p>
    <w:p>
      <w:r>
        <w:t>Nach Durchsicht der Akten schliesst sich das Gericht der Einschätzung der Vorinstanz an, wonach der Beschwerdeführer seine Vorbringen was die Erlebnisse seit dem Jahr 2013 betrifft, nicht hat glaubhaft machen können. Auf die betreffenden Ausführungen in der angefochtenen Verfügung kann mit den nachfolgenden Ergänzungen verwiesen werden. Die nebst dem Wiederholen des Sachverhalts in der Beschwerdeschrift gemachten Ergänzungen vermögen an der Beurteilung nichts zu ändern.</w:t>
      </w:r>
    </w:p>
    <w:p>
      <w:r>
        <w:rPr>
          <w:b/>
        </w:rPr>
        <w:t>E. 7.1.1</w:t>
      </w:r>
    </w:p>
    <w:p>
      <w:r>
        <w:t>Insoweit der Beschwerdeführer vorbringt, den Widersprüchen die sich aus den Angaben in der BzP zu denjenigen in der Anhörung ergäben, dürfe kein grosses Gewicht beigemessen werden, ist festzuhalten, dass es trotz des summarischen Charakters der BzP gemäss ständiger Rechtsprechung zulässig ist, Widersprüche für die Beurteilung der Glaubhaftigkeit heranzuziehen, wenn klare Aussagen im Empfangszentrum respektive an der BzP in wesentlichen Punkten der Asylbegründung von den späteren Aussagen an der Anhörung bei der Vorinstanz diametral abweichen oder wenn bestimmte Ereignisse oder Befürchtungen, welche später als zentrale Asylgründe genannt werden, nicht bereits im Empfangszentrum zumindest ansatzweise erwähnt werden (vgl. statt vieler: Urteil des BVGer D-6869/2017 vom 27. August 2019 E. 5.2 m.w.H; Entscheidungen und Mitteilungen der Schweizerischen Asylrekurskommission [EMARK] 1993 Nr. 3). Wie bereits von der Vorinstanz dargestellt wurde, weichen die Aussagen des Beschwerdeführers in der Anhörung teilweise stark von denjenigen in der BzP ab, ohne dass er dafür eine nachvollziehbare Erklärung geben konnte. Dem Beschwerdeführer ist es nicht gelungen, die zahlreichen Widersprüche vollständig aufzulösen. Was die Telefonanrufe betrifft, erscheint die vom Beschwerdeführer dargelegte Erklärung, er habe im Juli 2013 mehrere Anrufe erhalten, aber nur einen Telefonanruf angenommen, nicht überzeugend. Denn wenn er das Telefon nicht abgenommen hat, konnte er nicht bedroht werden und letztlich auch nicht wissen, wer ihn angerufen hat. Der Beschwerdeführer gab aber explizit an, er sei mehrfach bedroht worden (SEM-Akte A14/26 F67). Auch die Ergänzung, bei der Festnahme beim (...)spielen seien einige Personen in ziviler Kleidung gekommen und hätten ihn gezwungen sein T-Shirt auszuziehen, womit seine Hände hinter dem Rücken zusammengebunden worden seien, kann die Widersprüche, was die zeitliche Einordnung, die beteiligten Personen und das involvierte Fahrzeug anbelangt, nicht auflösen. Auch die Erklärung, er habe Angst und Ungewissheit empfunden, vermag die unpräzisen Angaben nicht zu rechtfertigen. Seine Aussage, er kenne den Unterschied zwischen einem Van und einem Jeep nicht, ist als Schutzbehauptung zu werten. Dass der Beschwerdeführer die Inhaftierung, bei welcher er schwer misshandelt worden sein soll, zeitlich nicht eindeutig einzuordnen vermag, ist nicht verständlich. Insbesondere, da seine Verhaftung im Zusammenhang mit seiner Tätigkeit für die TNA gestanden haben soll, wäre zu erwarten gewesen, dass er zumindest widerspruchsfrei angeben kann, ob sich der Vorfall vor oder nach den Regionalwahlen zugetragen hat. Der Beschwerdeführer erläuterte hinsichtlich der bezahlten Summe für seine Freilassung, es habe sich insgesamt um fünf Lakhs gehandelt, seine Grossmutter habe circa zwei bis drei Lahks bezahlt und G._______ habe den restlichen Betrag übernommen. Diese Angabe und auch seine Anmerkung, er habe eigentlich sagen wollen, er habe eine Woche nach der letzten Kundgebung und nicht eine Woche nach ihrem Tod an einer Demonstration zum Tod H._______ teilgenommen, sind nicht überzeugend.</w:t>
      </w:r>
    </w:p>
    <w:p>
      <w:r>
        <w:rPr>
          <w:b/>
        </w:rPr>
        <w:t>E. 7.1.2</w:t>
      </w:r>
    </w:p>
    <w:p>
      <w:r>
        <w:t>In der Beschwerdeschrift werden ferner allgemeine Ausführungen zu Problemen bei einer Traumatisierung gemacht. Den Akten sind keine Hinweise für eine Traumatisierung des Beschwerdeführers zu entnehmen. Er substantiiert eine solche denn auch nicht und legt dem Gericht keine entsprechenden Arztberichte vor. Das Vorschieben einer Traumatisierung ist damit als Ausflucht zu beurteilen. In der Rechtsmitteleingabe wird angeführt, der Beschwerdeführer habe über Erlebnisse berichten müssen, die er im Alter von (...) bis (...) Jahren erlebt habe. Der Beschwerdeführer ist aktuell (...)-jährig. Selbst wenn er im Alter von (...) Jahren Erlebnisse im Alter von (...) Jahren hat wiedergeben müssen, kann von ihm erwartet werden, dass er - wenn es sich um einschneidende Erlebnisse gehandelt hat - detailliert darüber berichtet. Im Übrigen ist festzustellen, dass der Beschwerdeführer im Jahr (...) beim Tod seines Vaters (...) Jahre alt war. In den Jahren 2013 und 2015 als die massgeblichen Misshandlungen stattgefunden haben sollen, war er hingegen bereits (...) und (...) Jahre alt. Zudem sollen die Vorfälle Auslöser für die anschliessende Flucht aus dem Heimatland gewesen sein, weshalb diesbezüglich eine detaillierte und zeitlich konsistente Schilderung eines direkt Betroffenen erwartet werden darf. Was die auf Beschwerdeebene eingereichten Fotografien von Narben betrifft, ist festzuhalten, dass der Beschwerdeführer erwiesenermassen Narben am Körper aufweist. Deren Herkunft und Alter lassen sich aber gemäss Arztbericht vom 22. Januar 2019 zum heutigen Zeitpunkt nicht mehr feststellen. Wie bereits von der Vorinstanz erwogen, sind die Angaben des Beschwerdeführers zu seiner Inhaftierung im Jahr 2013 bezüglich des Zeitpunkts widersprüchlich und betreffend die Umstände oberflächlich und vage ausgefallen. Es erscheint nicht nachvollziehbar, dass der Beschwerdeführer im geltend gemachten Ausmass bedroht worden sein soll, nur um ihn davon abzuhalten, sich für die TNA zu engagieren. Dem Beschwerdeführer ist es auch mit den ergänzenden Ausführungen auf Beschwerdeebene nicht gelungen, glaubhaft zu machen, dass ihm die Verletzungen - wie vorgebracht - bei den geltend gemachten Inhaftierungen im Jahr 2013 und 2015 zugefügt wurden. Er hat sich die Narben auch in anderer als der geschilderten Art und Weise zuziehen können. Dass die Schilderungen des Beschwerdeführers was die erlebten Misshandlungen betrifft oberflächlich und nicht erlebnisgeprägt erscheinen, stützt diese Schlussfolgerung. Zwar erwähnt der Beschwerdeführer Ohrfeigen, Schläge, Stich- /Schnitt- und Brandverletzungen, seine Angaben lassen aber jegliche persönlichen Empfindungen vermissen (vgl. SEM-Akte A14/26 F67 f., F133, F164). Auf die Frage inwiefern er medizinisch betreut worden sei, gab er lediglich knapp an, es seien Prellungen, Schwellungen und Wunden behandelt worden (F168). Auffallend ist dabei auch, dass der Beschwerdeführer nicht zwischen den beiden Inhaftierungen - die sich in den Jahren 2013 und 2015 zugetragen haben sollen - unterscheidet. Aus seinen Schilderungen erschliesst sich nicht, welche Verletzungen ihm bei welcher Gelegenheit zugefügt wurden. Zudem sollen gemäss seinen Aussagen die «Nebenwirkungen» immer noch präsent sein, daher ist nicht verständlich, weshalb er die konkreten Folgen oder gesundheitlichen Schwierigkeiten, an welchen er noch immer leide, nicht benannte.</w:t>
      </w:r>
    </w:p>
    <w:p>
      <w:r>
        <w:rPr>
          <w:b/>
        </w:rPr>
        <w:t>E. 7.2</w:t>
      </w:r>
    </w:p>
    <w:p>
      <w:r>
        <w:t>Ergänzend ist festzuhalten, dass zu allfälligen früher - vor 2013, mit seiner Mutter - erlebten Beeinträchtigungen zum Zeitpunkt der Ausreise kein zeitlicher Kausalzusammenhang mehr gegeben war.</w:t>
      </w:r>
    </w:p>
    <w:p>
      <w:r>
        <w:rPr>
          <w:b/>
        </w:rPr>
        <w:t>E. 7.3</w:t>
      </w:r>
    </w:p>
    <w:p>
      <w:r>
        <w:t>Weiter ist zu prüfen, ob der Beschwerdeführer aufgrund risikobegründender Faktoren bei einer Rückkehr nach Sri Lanka der Gefahr einer Verfolgung im Sinne von Art. 3 AsylG ausgesetzt sein könnte (vgl. dazu Referenzurteil des BVGer E-1866/2015).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Das Gericht schliesst sich auch in diesem Punkt den überzeugenden Ausführungen der Vorinstanz an, dass auch unter Berücksichtigung dieser Risikofaktoren kein Grund zur Annahme einer begründeten Furcht des Beschwerdeführers vor Verfolgung besteht. Der Beschwerdeführer gab an, nach Kriegsende sei seine Familie nach ihrem Hintergrund und allfälligen Beziehungen zu den LTTE befragt worden (SEM-Akte A14/26 F101). Sie seien auf ihrem Weg nach F._______ an Kontrollposten vorbeigekommen, hätten dabei aber keine Schwierigkeiten gehabt (F105). Damit ist davon auszugehen, dass allfällige Verbindungen des Beschwerdeführers zu den LTTE ihm vor seiner Ausreise nicht zum Nachteil gereichten. Er hat bis 2016 in Sri Lanka gelebt und es liegen keine Hinweise dafür vor, dass ihm dies nun bei einer Wiedereinreise plötzlich vorgehalten werden sollte oder er sich auf einer «Stop-List» befindet. Aus seiner tamilischen Ethnie, der Landesabwesenheit und dem Asylverfahren in der Schweiz kann der Beschwerdeführer keine Gefährdung ableiten. Schliesslich ist festzuhalten, dass auch die nicht leicht sichtbaren Narben, die lediglich zu den schwach risikobegründenden Faktoren zu zählen sind, daran nichts zu ändern vermögen.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7.4</w:t>
      </w:r>
    </w:p>
    <w:p>
      <w:r>
        <w:t>Zusammenfassend ist festzuhalten, dass der Beschwerdeführer nichts vorgebracht hat, was geeignet wäre, seine Flüchtlingseigenschaft nachzuweisen oder zumindest glaubhaft zu machen. Es ist nicht davon auszugehen, dass er begründete Furcht hat, bei einer Rückkehr einer Verfolgung im Sinne von Art. 3 AsylG ausgesetzt zu werden. Die Vorinstanz hat das Asylgesuch des Beschwerdeführers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Weiter hat sich der Europäische Gerichtshof für Menschenrechte (EGMR) mit der Gefährdungssituation im Hinblick auf eine EMRK-widrige Behandlung namentlich für Tamilen, die aus einem europäischen Land nach Sri Lanka zurückkehren müssen, wiederholt befasst (vgl. u.a. EGMR, R.J. gegen Frankreich, Urteil vom 19. September 2013, Beschwerde Nr. 10466/11; T.N. gegen Dänemark, Urteil vom 20. Januar 2011, Beschwerde Nr. 20594/08). Dabei unterstreicht der Gerichtshof, dass nicht in genereller Weise davon auszugehen sei, zurückkehrenden Tamilen drohe eine unmenschliche Behandlung. Vielmehr müssten im Rahmen der Beurteilung, ob der Betroffene ernsthafte Gründe für die Befürchtung habe, die Behörden hätten an seiner Festnahme und Befragung ein Interesse, verschiedene Aspekte - welche im Wesentlichen durch die Risikofaktoren (vgl. oben E. 7.3 f.)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oben ausgeführt - nicht darlegen konnte, dass er befürchten müsste, bei einer Rückkehr ins Heimatland die Aufmerksamkeit der sri-lankischen Behörden in einem flüchtlingsrechtlich relevanten Ausmass auf sich zu ziehen, bestehen - entgegen seiner Ansicht - keine Anhaltspunkte dafür, ihm würde eine menschenrechtswidrige Behandlung in Sri Lanka drohen. Der Vollzug der Wegweisung ist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Im heutigen Zeitpunkt herrscht in Sri Lanka weder Krieg noch eine Situation allgemeiner Gewalt (vgl. das seither wiederholt bestätigte Referenzurteil E-1866/2015 E. 13.1.2 mit Verweis auf BVGE 2011/24 E. 13.2.1).</w:t>
      </w:r>
    </w:p>
    <w:p>
      <w:r>
        <w:rPr>
          <w:b/>
        </w:rPr>
        <w:t>E. 9.3.2</w:t>
      </w:r>
    </w:p>
    <w:p>
      <w:r>
        <w:t>Der Beschwerdeführer gab an der BzP an, nachdem er ein Visum für die Schweiz beantragt habe, sei er zu verschiedenen Verwandten geschickt worden und habe nach Oktober 2015 bei einer Tante in I._______ und danach bei verschiedenen Verwandten gelebt (SEM-Akte A4/13 Ziff. 7.01 S. 8). Er führte zwar aus, sein Vater sei verstorben und seine Mutter habe ihn verlassen, sprach aber auch an der Anhörung davon, er habe die Nächte bei Verwandten verbracht (SEM-Akte A14/26 F184) und führt in der Beschwerde aus, er habe Hilfe von Verwandten seines Vaters und von Geschwistern seiner Grossmutter erhalten (Beschwerdeschrift Ziff. 24). Ausdiesen Angaben ist im sri-lankischen Kontext zu schliessen, dass der Beschwerdeführer an seinem Herkunftsort zahlreiche Verwandte hat. Mit seiner Grossmutter - zu der er weiterhin Kontakt pflegt - und dem G._______, seinem früheren Arbeitgeber, verfügt er somit über ein breites familiäres und soziales Beziehungsnetz und eine gesicherte Wohnsituation. Er verfügt zudem über eine (...) Schulbildung (bis [...]-Level, SEM-Akte A4/13 Ziff. 1.17.04), weshalb es ihm möglich sein wird, sich im Heimatland eine Existenz aufzubauen. Es ist davon auszugehen, dass er sich in seiner Heimat sozial und wirtschaftlich wieder wird integrieren können und er im Bedarfsfall auf die Unterstützung seiner Familie und Freunde zurückgreifen kann. Der Vollzug erweist sich deshalb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September 2018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