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E-4445/2021 vom 14. Oktober 2021</w:t>
      </w:r>
    </w:p>
    <w:p>
      <w:r>
        <w:t>Bundesverwaltungsgericht, 2021-10-14, DE</w:t>
      </w:r>
    </w:p>
    <w:p>
      <w:r>
        <w:rPr>
          <w:b/>
        </w:rPr>
        <w:t xml:space="preserve">Quelle: </w:t>
      </w:r>
      <w:r>
        <w:t>https://mcp.opencaselaw.ch/entscheid/bvger_E-4445_2021</w:t>
      </w:r>
    </w:p>
    <w:p>
      <w:r>
        <w:t>FR: TAF E-4445/2021 du 14 octobre 2021</w:t>
      </w:r>
    </w:p>
    <w:p>
      <w:r>
        <w:t>IT: TAF E-4445/2021 del 14 ottobre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der Beschwerdeführenden wird eine Verletzung des Untersuchungsgrundsatzes beziehungsweise des rechtlichen Gehörs gerügt. Sie bringen vor, vor dem spezifischen Hintergrund, dass die Familie des Getöteten enge Beziehungen zu einflussreichen Personen habe, habe sich die Vorinstanz nicht ausreichend mit der tatsächlichen Schutzfähigkeit und dem Schutzwillen der albanischen Behörden auseinandergesetzt. Vielmehr greife sie auf allgemeine Textbausteine zurück. Weitere Ausführungen hinsichtlich dieser formellen Rügen sind in der Beschwerdeschrift nicht ersichtlich.</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m.w.H.).</w:t>
      </w:r>
    </w:p>
    <w:p>
      <w:r>
        <w:rPr>
          <w:b/>
        </w:rPr>
        <w:t>E. 4.4</w:t>
      </w:r>
    </w:p>
    <w:p>
      <w:r>
        <w:t>Die Rüge der Verletzung der Untersuchungspflicht ist unbegründet. Die Vorinstanz hatte gestützt auf die Vorbringen der Beschwerdeführenden keinen Anlass, weitere Abklärungen vorzunehmen. Sie führt in der angefochtenen Verfügung rechtsgenügend aus, dass sie die Vorbringen der Beschwerdeführenden als reine Spekulation qualifiziert und dass es ihnen offen gestanden wäre, den albanischen Staat um Schutz zu ersuchen, in dem sie sich, falls die lokale Polizei nichts unternommen hätte, an höhere staatliche Instanzen hätten wenden können. Ferner spricht alleine der Umstand, dass die Vorinstanz zu einer anderen Würdigung der Vorbringen gelangt, als von den Beschwerdeführenden verlangt, nicht für eine ungenügende Sachverhaltsfeststellung. Hinsichtlich der Rüge der Verletzung des rechtlichen Gehörs ist festzuhalten, dass sich die Vorinstanz in der angefochtenen Verfügung mit den wesentlichen Aspekten ihrer Asylvorbringen in gebührender Ausführlichkeit auseinandergesetzt und ihre Schlussfolgerungen hinreichend begründet hat. Den Akten sind demnach keine Hinweise auf eine relevante Verletzung des rechtlichen Gehörs zu entnehmen. Nach dem Gesagten besteht keine Veranlassung, den angefochtenen Entscheid aus formellen Gründen aufzuheben und an die Vorinstanz zurückzuweisen. Das entsprechende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zur Begründung ihrer Verfügung im Wesentlichen aus, dass es sich bei der Auseinandersetzung mit F._______ um eine private Auseinandersetzung gehandelt habe, der kein asylbeachtliches Motiv zugrunde liege. Zudem hätten sich die Beschwerdeführenden nie schutzsuchend an die Behörden gewandt, obwohl die Asylgewährung vor-aussetze, dass Gesuchsteller zuerst alle Schutzmöglichkeiten im eigenen Land ausschöpfen müssten. Die Behauptung, aufgrund des Einflusses der gegnerischen Familie hätte die Polizei nichts unternommen, sei reine Spekulation. Es wäre für die Beschwerdeführenden zumutbar gewesen, Schutz zu verlangen oder, falls die lokalen Behörden nichts unternommen hätten, sich an eine höhere Instanz oder Aufsichtsstelle zu wenden. Im Weiteren habe der Beschwerdeführer während längerer Zeit in E._______ gelebt, ohne dass es zu entsprechenden Übergriffen gekommen sei. Lediglich die Mutter von F._______ habe missglückte Übergriffe auf den älteren Sohn durchgeführt. Auch hätten sich die Vorfälle, die die Beschwerdeführerin betroffen hätten, in grossem zeitlichen Abstand zugetragen, was ebenfalls nicht auf eine ernsthafte Verfolgungsabsicht hindeute. Im Weiteren müsse als speziell erachtet werden, dass die Mutter von F._______ als Frau gegen die beschwerdeführende Familie vorgegangen sein solle, obwohl dies gemäss des Ehrenkodexes Kanun den Männern der Familie vorbehalten sei. Auch sei erstaunlich, dass der ältere Sohn bereits von Blutrache betroffen sei, obwohl er noch lange nicht 18 Jahre alt werde und somit für eine Blutrache nicht in Frage käme. Da im Übrigen der albanische Staat vom Bundesrat 2003 zum «Safe Country» erklärt worden und somit schutzfähig und schutzwillig sei, hielten die Vorbringen der Beschwerdeführenden den Anforderungen an die Flüchtlingseigenschaft gemäss Art. 3 AsylG nicht stand.</w:t>
      </w:r>
    </w:p>
    <w:p>
      <w:r>
        <w:rPr>
          <w:b/>
        </w:rPr>
        <w:t>E. 6.2</w:t>
      </w:r>
    </w:p>
    <w:p>
      <w:r>
        <w:t>Die Beschwerdeführenden bringen im Wesentlichen vor, dass neben Männern und Frauen in der heutigen Zeit auch Kinder Opfer von Blutfehden würden. Auch führen sie, unter Hinweis auf verschiedene Quellen, aus, dass es für Polizisten sehr gefährlich sei, sich in Blutfehden einzumischen, weswegen sie auch selten etwas dagegen unternehmen würden. Selbst Richter würden befürchten, selber ins Visier zu geraten. In casu handle es sich um eine Auseinandersetzung zweier Familien, wovon die eine über grossen Einfluss verfüge, da deren Mitglieder hohe Positionen bei der Polizei und weiteren Behörden innehaben würden. Aufgrund dieser Ausführungen und der grassierenden Korruption in Albanien sei nicht davon auszugehen, dass die Polizei ernsthafte Schritte gegen die gegnerische Familie einleiten werde. Die Beschwerdeführenden hätten das Vertrauen in die Behörden verloren und hätten das Gefühl, dass die albanischen Behörden in dieser Angelegenheit weder schutzwillig noch schutzfähig seien. Da sich die Beschwerdeführenden nicht an die Polizei hätten wenden können, hätten sie mithilfe des Gemeindepräsidenten oder etwa des Vaters der Beschwerdeführerin versucht, den Streit zu schlichten, dies erfolglos.</w:t>
      </w:r>
    </w:p>
    <w:p>
      <w:r>
        <w:rPr>
          <w:b/>
        </w:rPr>
        <w:t>E. 7.1</w:t>
      </w:r>
    </w:p>
    <w:p>
      <w:r>
        <w:t>Das Bundesverwaltungsgericht gelangt zum Schluss, dass die Vorinstanz zu Recht davon ausgegangen ist, die Vorbringen der Beschwerdeführenden würden den Anforderungen an die Flüchtlingseigenschaft nicht genügen. Zum einen fehlt es bei einer privaten Blutfehde am Erfordernis der flüchtlingsrechtlich relevanten Verfolgungsmotivation, weil diese nicht aus einem in Art. 3 Abs. 1 AsylG genannten Grund erfolgt. Zum andern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[S. 173 ff.]; 2008/4 E. 5.2 [S. 37 f.]; Urteil des BVGer E-4982/2020 vom 15. Januar 2021 E. 5).</w:t>
      </w:r>
    </w:p>
    <w:p>
      <w:r>
        <w:rPr>
          <w:b/>
        </w:rPr>
        <w:t>E. 7.2</w:t>
      </w:r>
    </w:p>
    <w:p>
      <w:r>
        <w:t>Bei Albanien handelt es sich um einen verfolgungssicheren 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Urteil des BVGer E-4982/2020 vom 15. Januar 2021 E. 5).</w:t>
      </w:r>
    </w:p>
    <w:p>
      <w:r>
        <w:rPr>
          <w:b/>
        </w:rPr>
        <w:t>E. 7.3</w:t>
      </w:r>
    </w:p>
    <w:p>
      <w:r>
        <w:t>Aus dem Vorbringen, eine Strafanzeige der Beschwerdeführerin sei nicht behandelt worden (Akten der Vorinstanz A42/F57), kann nicht geschlossen werden, dass der albanische Staat grundsätzlich nicht schutzfähig oder -willig ist. Sie selber sagt in der Anhörung weiter aus, sie habe nur einmal bei der Polizei um Schutz nachgesucht (Akten der Vorinstanz A42/F59) und sich im Weiteren nicht gross mit Strafanzeigen befasst, da es die Behörden zugelassen hätten, «dass solche Personen mit einer Schusswaffe bedroht werden» (Akten der Vorinstanz A42/F58). Auch sonst hätten sie, die Beschwerdeführenden, nicht mit der Polizei über die Vorfälle gesprochen, da es keine Gerechtigkeit gebe (Akten der Vorinstanz A42/F66). Es liegen keine Hinweise dafür vor, dass die Behörden nicht willens und in der Lage gewesen wären, den Beschwerdeführenden Schutz zu bieten, zumal es sich dem Gericht nicht erschliesst, wieso sie die ihnen zur Verfügung stehenden rechtstaatlichen Mittel in Albanien nicht ausgeschöpft haben, wie beispielsweise sich an eine höhere Instanz zu wenden. Sodann gibt es keinen Grund anzunehmen, die Beschwerdeführenden könnten nach ihrer Rückkehr in den Heimatstaat den Schutz der albanischen Behörden nicht in Anspruch nehmen. Festzuhalten ist ferner, dass von einem Staat nicht eine faktische Garantie für einen langfristigen individuellen Schutz der von nichtstaatlicher Verfolgung bedrohten Personen zu verlangen ist, weil es keinem Staat gelingen kann, die absolute Sicherheit seiner Bürgerinnen und Bürger jederzeit und überall zu garantieren (vgl. BVGE 2011/51 E. 7.3 m.w.H.). Den Beschwerdeführenden ist es somit nicht gelungen, die Regelvermutung (vgl. E. 7.2) umzustossen.</w:t>
      </w:r>
    </w:p>
    <w:p>
      <w:r>
        <w:rPr>
          <w:b/>
        </w:rPr>
        <w:t>E. 7.4</w:t>
      </w:r>
    </w:p>
    <w:p>
      <w:r>
        <w:t>Die Vorinstanz hat die Flüchtlingseigenschaft der Beschwerdeführenden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Insbesondere ist im Fall der Beschwerdeführenden, wie oben dargelegt, davon auszugehen, dass sie sich bei allfälligen Bedrohungen von Seiten Dritter an die albanischen Behörden wenden können.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Vorliegend lässt weder die allgemeine Lage im Heimatstaat der Beschwerdeführenden noch individuelle Gründe auf eine konkrete Gefährdung im Falle einer Rückkehr schliessen. Das SEM hat diesbezüglich zu Recht darauf hingewiesen, dass die Beschwerdeführenden in Albanien gut gestellt gewesen seien und es ihnen gesundheitlich gut gehe. Auch wenn der Beschwerdeführer immer bewaffnet herumlaufe und sich der ältere Sohn während der Schultage dauernd im Schulgebäude aufhalte, ist vorliegend nicht von einer unzumutbaren Situation auszugehen, zumal sich die Beschwerdeführenden schutzsuchend an die Behörden wenden können. Auch unter dem Aspekt des Kindeswohls erweist sich vorliegend ein Vollzug der Wegweisung nach Albanien nicht als unzumutbar. 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Aufgrund der Aussichtslosigkeit der Rechtsbegehren ist das Gesuch um unentgeltliche Prozessführung ungeachtet einer allfälligen prozessualen Bedürftigkeit abzuweisen.</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vorliegendem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