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E-4445/2011 vom 16. August 2011</w:t>
      </w:r>
    </w:p>
    <w:p>
      <w:r>
        <w:t>Bundesverwaltungsgericht, 2011-08-16, DE</w:t>
      </w:r>
    </w:p>
    <w:p>
      <w:r>
        <w:rPr>
          <w:b/>
        </w:rPr>
        <w:t xml:space="preserve">Quelle: </w:t>
      </w:r>
      <w:r>
        <w:t>https://mcp.opencaselaw.ch/entscheid/bvger_E-4445_2011</w:t>
      </w:r>
    </w:p>
    <w:p>
      <w:r>
        <w:t>FR: TAF E-4445/2011 du 16 août 2011</w:t>
      </w:r>
    </w:p>
    <w:p>
      <w:r>
        <w:t>IT: TAF E-4445/2011 del 16 agosto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vorbehältlich des Vorliegens eines Auslieferungsersuchens des Staates, vor welchem die beschwerdeführende Person Schutz sucht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und Art. 105 AsylG i.V.m. Art. 37 VGG und Art. 48 Abs. 1 sowie Art. 52 VwVG).</w:t>
      </w:r>
    </w:p>
    <w:p>
      <w:r>
        <w:rPr>
          <w:b/>
        </w:rPr>
        <w:t>E. 1.4</w:t>
      </w:r>
    </w:p>
    <w:p>
      <w:r>
        <w:t>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 solches Rechtsmittel, weshalb der Beschwerdeentscheid nur summarisch zu begründen ist (Art. 111a Abs. 2 AsylG). Gestützt auf Art. 111a Abs. 1 AsylG wurde auf die Durchführung eines Schriftenwechsels verzichtet.</w:t>
      </w:r>
    </w:p>
    <w:p>
      <w:r>
        <w:rPr>
          <w:b/>
        </w:rPr>
        <w:t>E. 4.1</w:t>
      </w:r>
    </w:p>
    <w:p>
      <w:r>
        <w:t>In formeller Hinsicht ist zunächst festzuhalten, dass gemäss Art. 19 AsylG ein Asylgesuch im Ausland bei einer schweizerischen Vertretung gestellt werden kann, welche dieses mit einem Bericht an das Bundesamt überweist (Art. 20 Abs. 1 AsylG). Die schweizerische Vertretung führt mit der asylsuchenden Person in der Regel eine Befragung durch (Art. 10 Abs. 1 Asylverordnung 1 vom 11. August 1999 über Verfahrensfragen [AsylV 1, SR 142.311]). Ist diese nicht möglich, so wird die asylsuchende Per­son von der Vertretung aufgefordert, ihre Asylgründe schriftlich fest­zu­halten (Art. 10 Abs. 2 AsylV 1). Das Bun­desverwaltungsgericht hat in Auslegung dieser Bestim­mun­gen in einem Leitentscheid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Da die An­hö­rung der Sachverhaltserstellung sowie der Gewährung des recht­lichen Ge­hörs dient (vgl. a.a.O. E. 5.5), ist die asylsu­chende Per­son bei gegebe­ner Unmöglichkeit einer Anhörung unter Hinweis auf ihre Mit­wirkungs­pflicht in einem individualisierten Schrei­ben mittels konkreter Fragen aufzu­fordern, ihre Asylgründe schriftlich festzuhalten (vgl. a.a.O. E. 5.4). Eine Befragung bezie­hungsweise schriftliche Sachverhalts­abklärung kann sich auch dann erübrigen, wenn der Sachver­halt bereits auf­grund des ein­gereichten Asylgesuchs als entscheid­reif erstellt er­scheint (vgl. hierzu a.a.O. E. 5.7).</w:t>
      </w:r>
    </w:p>
    <w:p>
      <w:r>
        <w:rPr>
          <w:b/>
        </w:rPr>
        <w:t>E. 4.1.1</w:t>
      </w:r>
    </w:p>
    <w:p>
      <w:r>
        <w:t>Vorliegend fand eine mündliche Befragung der Beschwerdeführenden aus Kapazitätsgründen nicht statt. Das BFM stellte vor diesem Hintergrund in der Zwischenverfügung vom 28. September 2010 fest, der entscheidwesentliche Sachverhalt werde - auch angesichts der vielen eingereichten Beweismittel - als erstellt erachtet, und forderte die Beschwerdeführenden zur Einreichung einer schriftlichen Stellungnahme auf, die innert Frist einging.</w:t>
      </w:r>
    </w:p>
    <w:p>
      <w:r>
        <w:rPr>
          <w:b/>
        </w:rPr>
        <w:t>E. 4.1.2</w:t>
      </w:r>
    </w:p>
    <w:p>
      <w:r>
        <w:t>Die Beschwerdeführenden haben ihre persönliche Situation im erst- und im zwei­tinstanzlichen Verfahren in verschiedenen Eingaben detailliert geschil­dert und mit verschiedenen Beweismitteln dokumentiert. In der Beschwerde vom 27. April 2011 rügen sie keine Verletzung ihrer prozessualen Rechte.</w:t>
      </w:r>
    </w:p>
    <w:p>
      <w:r>
        <w:rPr>
          <w:b/>
        </w:rPr>
        <w:t>E. 4.1.3</w:t>
      </w:r>
    </w:p>
    <w:p>
      <w:r>
        <w:t>Auch das Bundesverwaltungsgericht beurteilt den rechtserheblichen Sach­verhalt bei dieser Aktenlage als hinreichend er­stellt und stellt fest, dass das erstinstanzliche Verfahren korrekt abgelaufen ist.</w:t>
      </w:r>
    </w:p>
    <w:p>
      <w:r>
        <w:rPr>
          <w:b/>
        </w:rPr>
        <w:t>E. 5</w:t>
      </w:r>
    </w:p>
    <w:p>
      <w:r>
        <w:t>Folglich bleibt zu prüfen, ob das Bundesamt zu Recht das Asylgesuch ab­gewie­sen und den Beschwerdeführenden die Einreise in die Schweiz ver­weigert hat.</w:t>
      </w:r>
    </w:p>
    <w:p>
      <w:r>
        <w:rPr>
          <w:b/>
        </w:rPr>
        <w:t>E. 5.1</w:t>
      </w:r>
    </w:p>
    <w:p>
      <w:r>
        <w:t>Das BFM kann ein im Ausland gestelltes Gesuch ablehnen, wenn die asylsuchenden Personen keine Verfolgung glaubhaft machen können oder ihnen die Aufnahme in einem Drittstaat zugemutet werden kann (vgl. Art. 3, Art. 7 und 52 [Abs. 2] AsylG). Gemäss Art. 20 Abs. 2 AsylG be­will­ligt das BFM Asylsuchenden die Einreise zur Abklärung des Sachverhalts, wenn es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 von Art. 3 AsylG sind namentlich Art und In­tensität der persönlichen Beziehung zur Schweiz, die Möglichkeit der Schutzgewährung durch einen anderen Staat, die Qualität allfälliger Be­zie­hungen zu anderen Staaten, die praktische Möglichkeit und objektive Zu­mut­barkeit einer anderweitigen Schutzsuche sowie die voraus­sicht­li­chen Eingliederungs- und Assimilationsmöglichkeiten in Betracht zu ziehen (vgl. die weiterhin zutreffende Praxis in Entscheidungen und Mit­tei­lungen der [vormaligen] Schweizerischen Asylrekurskommission [EMARK] 1997 Nr. 15, insbesondere S. 131 ff., welcher angesichts bloss redaktioneller Änderungen bei der letzten Totalrevision des Asylgesetzes nach wie vor Gültigkeit hat). Ausschlaggebend für die Erteilung einer Einreise­be­will­li­gung ist demnach die Schutzbedürftigkeit der betroffenen Personen (vgl. EMARK 1997 Nr. 15 E. 2c S. 130), mithin die Prüfung der Fragen, ob eine Gefährdung im Sinn von Art. 3 AsylG glaubhaft gemacht wird, und ob der Verbleib am Aufenthaltsort für die Dauer der Sachverhaltsabklärung zuge­mu­tet werden kann.</w:t>
      </w:r>
    </w:p>
    <w:p>
      <w:r>
        <w:rPr>
          <w:b/>
        </w:rPr>
        <w:t>E. 5.2</w:t>
      </w:r>
    </w:p>
    <w:p>
      <w:r>
        <w:t>Die Vorinstanz hat zutreffend darauf hingewiesen, dass sich die Beschwerdeführenden den Bedrohungen und Nachstellungen durch die Guerilla-Organisation ELN durch Nutzen innerstaatlicher Aus­weich­möglichkeiten entziehen konnten. Den Akten sind keine konkreten Hinweise auf Gründe zu entnehmen, aufgrund derer ihnen dies in Zukunft nicht mehr möglich sein sollte. Es ist deshalb davon auszugehen, dass es den Beschwerde­führenden weiterhin möglich und zumutbar ist, allfälli­gen Nach­stel­lungen innerhalb des Heimatlandes auszuweichen. Dies gilt umso mehr, als es sich bei ihnen nicht um lan­desweit bekannte Persönlichkeiten handelt. Die Tat­sache, dass die zuständigen heimatlichen Behörden nicht ständigen und lücken­lo­sen Schutz vor allen allfälligen Nachteilen garantieren können, vermag an die­sen Ausführun­gen nichts zu ändern.</w:t>
      </w:r>
    </w:p>
    <w:p>
      <w:r>
        <w:rPr>
          <w:b/>
        </w:rPr>
        <w:t>E. 5.3</w:t>
      </w:r>
    </w:p>
    <w:p>
      <w:r>
        <w:t>Sodann hat das BFM auch korrekt festgestellt, dass es den Be­schwer­de­führenden zuzumuten ist, nötigenfalls in einem anderen Land um Asylgewährung nachzusuchen (vgl. Art. 52 [Abs. 2] AsylG). So sind namentlich die Nachbarstaaten Brasilien, Ecuador, Pa­na­ma und Peru Vertragsparteien sowohl des Abkommens über die Rechts­stellung der Flüchtlinge vom 28. Juli 1951 (FK, SR 0.142.30) als auch des betreffen­den Zusatzprotokolls vom 31. Januar 1967; Venezuela hat zwar das Ab­kom­men selbst nicht ratifiziert, wohl aber das Protokoll. Diese Län­der ver­fü­gen - mit Ausnahme Venezuelas - über ein eigenes, gesetzlich ge­re­gel­tes Verfahren zur Anerkennung von Flüchtlingen. Zudem halten sie sich gemäss den Erkenntnissen des Bundesver­wal­tungsgerichts grund­sätzlich an das Gebot des Non-Refoulement von Art. 33 FK (auch wenn als Einschränkung festgestellt werden muss, dass es in den Grenz­ge­bie­ten, insbesondere denjenigen zu Panama und Venezuela, in den letzten Jah­ren zu unkontrollierten Rückschiebungen durch die Grenz­be­hörden gekommen sein soll). Für die praktische Möglichkeit und die Zumutbarkeit der anderweitigen Schutzsuche spricht im Weiteren die Möglichkeit der visumsfreien Einreise nach Brasilien, Ecuador und Peru sowie der Um­stand, dass jährlich mehrere Tausend kolumbianische Staats­angehörige in den Nach­barstaaten, namentlich in Ecuador, um Asyl nachsuchen und dort zu einem be­trächtlichen Teil auch als Flüchtlinge anerkannt werden. Insgesamt erge­ben sich keine Anhaltspunkte, die darauf schliessen liessen, es sei den Beschwerdeführenden unmöglich oder unzumutbar, sich in einen anderen Staat, insbesondere in einen der Nach­barstaaten Kolumbiens, zu begeben (vgl. EMARK 2004 Nr. 20 und EMARK 1997 Nr. 15 E. 2f S. 132; vgl. etwa auch die Urteile des Bun­des­ver­waltungs­ge­richts D-5372/2010 vom 6. August 2010 und E 4009/2010 vom 15. Juni 2010). Dies umso weniger, als es sich bei ihnen, wie erwähnt, nicht um Persönlichkeiten handelt, die aufgrund ihrer be­son­ders expo­nierten Stellung auch bei einer Flucht ins nahe Ausland befürch­ten müssten, weiterhin verfolgt zu werden.</w:t>
      </w:r>
    </w:p>
    <w:p>
      <w:r>
        <w:rPr>
          <w:b/>
        </w:rPr>
        <w:t>E. 5.4</w:t>
      </w:r>
    </w:p>
    <w:p>
      <w:r>
        <w:t>Schliesslich bleibt festzuhalten, dass die Beschwerdeführenden weder in ih­rem Gesuch noch in der Beschwerde irgendeine persönliche Beziehung zur Schweiz gel­tend gemacht haben.</w:t>
      </w:r>
    </w:p>
    <w:p>
      <w:r>
        <w:rPr>
          <w:b/>
        </w:rPr>
        <w:t>E. 5.5</w:t>
      </w:r>
    </w:p>
    <w:p>
      <w:r>
        <w:t>Vor diesem Hintergrund erweist sich eine Schutzgewährung seitens der Schweizer Behörden als nicht erforderlich. Unter diesen Umständen hat die Vorinstanz zu Recht die Erteilung der Einreisebewilligung verweigert und die Asylgesuche der Beschwerde­füh­renden abgewiesen.</w:t>
      </w:r>
    </w:p>
    <w:p>
      <w:r>
        <w:rPr>
          <w:b/>
        </w:rPr>
        <w:t>E. 6</w:t>
      </w:r>
    </w:p>
    <w:p>
      <w:r>
        <w:t>Aus diesen Erwägungen ergibt sich, dass die angefochtene Verfügung Bun­desrecht nicht verletzt, den rechtserheblichen Sachverhalt richtig und vollständig feststellt und angemessen ist (Art. 106 AsylG). Die Be­schwerde ist abzuweisen.</w:t>
      </w:r>
    </w:p>
    <w:p>
      <w:r>
        <w:rPr>
          <w:b/>
        </w:rPr>
        <w:t>E. 7</w:t>
      </w:r>
    </w:p>
    <w:p>
      <w:r>
        <w:t>Bei diesem Ausgang des Verfahrens wären die Kosten grundsätzlich den Beschwerdeführenden aufzuerlegen (Art. 63 Abs. 1 VwVG). Aus verwal­tungsökonomischen Gründen ist in Anwendung von Art. 63 Abs. 1 in fine VwVG und Art. 2 und 3 des Reglements vom 21. Februar 2008 über die Kosten und Entschädigungen vor dem Bundesverwaltungsgericht (VGKE, SR 173.320.2) indessen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