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E-4439/2016 vom 16. Juni 2017</w:t>
      </w:r>
    </w:p>
    <w:p>
      <w:r>
        <w:t>Bundesverwaltungsgericht, 2017-06-16, FR</w:t>
      </w:r>
    </w:p>
    <w:p>
      <w:r>
        <w:rPr>
          <w:b/>
        </w:rPr>
        <w:t xml:space="preserve">Quelle: </w:t>
      </w:r>
      <w:r>
        <w:t>https://mcp.opencaselaw.ch/entscheid/bvger_E-4439_2016</w:t>
      </w:r>
    </w:p>
    <w:p>
      <w:r>
        <w:t>FR: TAF E-4439/2016 du 16 juin 2017</w:t>
      </w:r>
    </w:p>
    <w:p>
      <w:r>
        <w:t>IT: TAF E-4439/2016 del 16 giugno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105 en relation avec l'art. 6a al. 1 LAsi ; art. 33 let. d LTAF et art. 83 let. d ch. 1 LTF), exception non réalisée en l'espèce.</w:t>
      </w:r>
    </w:p>
    <w:p>
      <w:r>
        <w:rPr>
          <w:b/>
        </w:rPr>
        <w:t>E. 1.2</w:t>
      </w:r>
    </w:p>
    <w:p>
      <w:r>
        <w:t>L'intéressé a qualité pour recourir. Présenté dans la forme et le délai prescrits par la loi, le recours est recevable (cf.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En l'occurrence, la décision du SEM est fondée sur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2015/41 consid. 3.1).</w:t>
      </w:r>
    </w:p>
    <w:p>
      <w:r>
        <w:rPr>
          <w:b/>
        </w:rPr>
        <w:t>E. 2.3</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3.1</w:t>
      </w:r>
    </w:p>
    <w:p>
      <w:r>
        <w:t>En l'occurrence, il n'est pas contesté que la Hongrie est le pays compétent, selon les critères du règlement Dublin III, pour traiter la demande de protection du recourant, vu le visa qui lui a été délivré. Se posent en revanche les questions de savoir s'il existe des défaillances systémiques, au sens de l'art. 3 par. 2, 2ème phrase, du règlement Dublin III, précité et si l'exécution du transfert de l'intéressé dans ce pays entraînerait, dans son cas particulier, un risque réel de traitements prohibés ou s'avérerait, pour une quelconque autre raison, illicite.</w:t>
      </w:r>
    </w:p>
    <w:p>
      <w:r>
        <w:rPr>
          <w:b/>
        </w:rPr>
        <w:t>E. 3.2</w:t>
      </w:r>
    </w:p>
    <w:p>
      <w:r>
        <w:t>Dans un arrêt du 31 mai 2017, rendu en la cause D-7853/2015 (destiné à la publication comme arrêt de référence), le Tribunal a analysé de manière approfondie l'évolution de la situation des requérants d'asile en Hongrie, en particulier ceux transférés en application du règlement Dublin III, depuis l'important flux migratoire auquel a dû faire face ce pays en 2015. Il a constaté l'existence de nombreuses carences dans le système hongrois, en ce qui concerne notamment l'accès à la procédure d'asile ainsi que l'hébergement des requérants dans les zones de transit. Le Tribunal s'est en particulier penché sur l'entrée en vigueur, le 28 mars 2017, de l'acte T/13976 sur « l'amendement de plusieurs lois concernant le renforcement de la procédure d'asile conduite dans la zone surveillée de la frontière hongroise ». Il a relevé que la mise en oeuvre de cet acte, qui serait applicable à toutes les procédures d'asile en cours, même pendantes, vu son effet rétroactif, et qui impliquerait un durcissement significatif de la législation hongroise, entraînerait de nombreuses incertitudes et interrogations. Il ne pourrait ainsi notamment pas être déterminé avec certitude si, suite à un transfert vers la Hongrie, les demandeurs d'asile seraient considérés comme des clandestins, et donc transférés en zones dites de pré-transit, ou en tant que requérants dont la demande serait examinée en zone de transit. Le Tribunal est dès lors arrivé au constat que, vu les nombreuses incertitudes causées par ce récent changement législatif, en lien avec l'accès à la procédure, d'une part, et les conditions d'accueil, d'autre part, il ne lui était, en l'état, pas possible de se prononcer sur l'existence de défaillances systémiques, au sens de l'art. 3 par. 2 du règlement Dublin III, ou sur les questions liées aux risques réels (« real risk »), auxquels pourraient faire face les requérants d'asile en cas de transfert en Hongrie. En conséquence, il a annulé la décision attaquée et renvoyé l'affaire au SEM pour nouvelle décision, estimant qu'il incombait à l'autorité de première instance de réunir tous les éléments de fait utiles permettant de trancher ces questions essentielles. A cet égard, il a souligné qu'il ne revenait pas à l'autorité de recours de procéder à des investigations complémentaires complexes et que statuer, en l'état, sur le recours outrepasserait ses compétences, au risque de priver la partie de la double instance (cf. en particulier le consid. 13 de l'arrêt).</w:t>
      </w:r>
    </w:p>
    <w:p>
      <w:r>
        <w:rPr>
          <w:b/>
        </w:rPr>
        <w:t>E. 3.3</w:t>
      </w:r>
    </w:p>
    <w:p>
      <w:r>
        <w:t>Pour les mêmes motifs que ceux exposés dans l'arrêt mentionné ci-avant, le Tribunal n'est pas en mesure de statuer sur le recours du 18 juillet 2016, interjeté contre la décision entreprise. Celle-ci doit donc être annulée pour constatation incomplète de l'état de fait pertinent et la cause renvoyée au SEM pour complément d'instruction et nouvelle décision. Le recours doit dès lors être admis, sans qu'il soit nécessaire d'examiner les autres griefs qui y sont avancés.</w:t>
      </w:r>
    </w:p>
    <w:p>
      <w:r>
        <w:rPr>
          <w:b/>
        </w:rPr>
        <w:t>E. 4</w:t>
      </w:r>
    </w:p>
    <w:p>
      <w:r>
        <w:t>S'avérant manifestement fondé au vu des considérations qui précèdent, le recours est admis dans une procédure à juge unique, avec l'approbation d'un second juge (cf. art. 111 let. e LAsi).</w:t>
      </w:r>
    </w:p>
    <w:p>
      <w:r>
        <w:rPr>
          <w:b/>
        </w:rPr>
        <w:t>E. 5.1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(cf. art. 63 al. 1 et 2 PA). La demande d'assistance judiciaire partielle devient ainsi sans objet.</w:t>
      </w:r>
    </w:p>
    <w:p>
      <w:r>
        <w:rPr>
          <w:b/>
        </w:rPr>
        <w:t>E. 5.2</w:t>
      </w:r>
    </w:p>
    <w:p>
      <w:r>
        <w:t>En conséquence, il y a lieu d'allouer au recourant des dépens pour les frais nécessaires causés par le litige (cf. art. 64 al. 1 PA et art. 7 al. 1 du règlement du 21 février 2008 concernant les frais, dépens et indemnités fixés par le Tribunal administratif fédéral [FITAF, RS 173.320.2]). En l'absence de décompte de prestations de la mandataire, ceux-ci sont fixés sur la base du dossier. Ils sont arrêtés à 600 francs, compte tenu de l'absence de spécificité du cas d'espèce et du nombre de procédures analogues dans lesquelles la mandataire a agi en qualité de représentante et déposé des recours contenant une argumentation similaire (cf. art. 14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