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E-4437/2015 vom 23. November 2015</w:t>
      </w:r>
    </w:p>
    <w:p>
      <w:r>
        <w:t>Bundesverwaltungsgericht, 2015-11-23, DE</w:t>
      </w:r>
    </w:p>
    <w:p>
      <w:r>
        <w:rPr>
          <w:b/>
        </w:rPr>
        <w:t xml:space="preserve">Quelle: </w:t>
      </w:r>
      <w:r>
        <w:t>https://mcp.opencaselaw.ch/entscheid/bvger_E-4437_2015</w:t>
      </w:r>
    </w:p>
    <w:p>
      <w:r>
        <w:t>FR: TAF E-4437/2015 du 23 novembre 2015</w:t>
      </w:r>
    </w:p>
    <w:p>
      <w:r>
        <w:t>IT: TAF E-4437/2015 del 23 novembre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1.3</w:t>
      </w:r>
    </w:p>
    <w:p>
      <w:r>
        <w:t>Auf die frist- und im Übrigen formgerecht eingereichte Beschwerde ist einzutreten (Art. 108 Abs. 1 AsylG, Art. 6 AsylG i.V.m. Art. 52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Verfolgung ist asylbeachtlich, wenn sie vom Staat ausgeht; nichtstaatliche Verfolgung ist dagegen nur dann asylbeachtlich, wenn der Staat zur Verfolgung anregt oder sich in anderer Weise zurechnen lassen muss oder er generell nicht in der Lage ist, vor Verfolgung ausreichend Schutz zu bieten. 4.2 Das SEM kann ein im Ausland gestelltes Asylgesuch ablehnen, wenn die asylsuchenden Personen keine Verfolgung glaubhaft machen können oder ihnen die Aufnahme in einem Drittstaat zugemutet werden kann (Art. 3, Art. 7 und aArt. 52 Abs. 2 AsylG). Gemäss aArt. 20 Abs. 2 AsylG kann das Eidgenössische Justiz- und Polizeidepartement (EJPD) schweizerische Vertretungen dazu ermächtigen, Asylsuchenden die Einreise zur Abklärung des Sachverhaltes zu bewilligen, wenn ihnen nicht zugemutet werden kann, im Wohnsitz- oder Aufenthaltsstaat zu bleiben oder in ein anderes Land auszureisen. 4.3 Bei diesem Entscheid sind die Voraussetzungen zur Erteilung einer Einreisebewilligung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w:t>
      </w:r>
    </w:p>
    <w:p>
      <w:r>
        <w:rPr>
          <w:b/>
        </w:rPr>
        <w:t>E. 5</w:t>
      </w:r>
    </w:p>
    <w:p>
      <w:r>
        <w:t>Die Vorinstanz verweigerte den Beschwerdeführern die Einreise und lehnte die Asylgesuche mit der Begründung ab, die Vorbringen seien als nichtstaatliche Verfolgung nicht asylrelevant, zumal der volljährige Beschwerdeführer die Übergriffe seitens seiner Ex-Frau und ihrer Verwandten der Polizei gemeldet, diese aber aus Rücksicht auf seine Kinder aus erster Ehe gebeten habe, nicht einzugreifen. Daher könne nicht vom Fehlen des Schutzwillens der pakistanischen Behörden ausgegangen werden. Bei Furcht vor weiterer Bedrohung könne er die Behörden um Schutz bitten. Als gebildetem und gut situiertem Mann, welcher für die Regierung arbeite, müsse ihm der Zugang zu den Schutzinstanzen offenstehen. Den Akten seien keine Hinweise zu entnehmen, dass die lokalen Behörden ihn vor weiteren Angriffen nicht schützen würden. Daher sei von einem adäquaten Schutz seitens der heimatlichen Behörden auszugehen. Weiter hielt ihm die Vorinstanz mit dem Hinweis, dass er von Privatpersonen in F._______ gesucht werde und er in G._______ über Verwandte verfüge, dort aufgewachsen sei und über zehn Jahre gearbeitet habe, diese Stadt als inländische Fluchtalternative entgegen.</w:t>
      </w:r>
    </w:p>
    <w:p>
      <w:r>
        <w:rPr>
          <w:b/>
        </w:rPr>
        <w:t>E. 6</w:t>
      </w:r>
    </w:p>
    <w:p>
      <w:r>
        <w:t>Nach Prüfung der Akten teilt das Gericht die Auffassung der Vorinstanz, dass davon auszugehen ist, dass die pakistanischen Behörden sowohl schutzfähig als auch schutzwillig sind. Denn Pakistan verfügt über die erforderliche Infrastruktur zur Strafverfolgung (Gesetze, Polizeiwesen und Rechts- und Justizsystem), weshalb vom Vorhandensein eines adäquaten staatlichen Schutzes ausgegangen werden darf, der den Beschwerdeführern im Fall von zukünftigen Problemen zugänglich ist. Ausserdem ist dem Beschwerdeführer anzulasten, dass er die Polizei gebeten hat, nicht einzugreifen. Somit hat er die Schutzsuche in seinem Heimatstaat nicht ausgeschöpft. Trotz Drohung seiner ehemaligen Schwäger, ihn im ganzen Land zu verfolgen, ist der Vorinstanz beizupflichten, dass mit G._______ eine zumutbare inländische Schutzalternative besteht. In der Beschwerde bringen die Beschwerdeführer nichts vor, was geeignet wäre, an diesem Befund etwas zu ändern.</w:t>
      </w:r>
    </w:p>
    <w:p>
      <w:r>
        <w:rPr>
          <w:b/>
        </w:rPr>
        <w:t>E. 7</w:t>
      </w:r>
    </w:p>
    <w:p>
      <w:r>
        <w:t>Aus diesen Erwägungen ergibt sich, dass die angefochtene Verfügung im Lichte von Art. 106 Abs. 1 AsylG nicht zu beanstanden ist. Die Beschwerde ist abzuweisen.</w:t>
      </w:r>
    </w:p>
    <w:p>
      <w:r>
        <w:rPr>
          <w:b/>
        </w:rPr>
        <w:t>E. 8</w:t>
      </w:r>
    </w:p>
    <w:p>
      <w:r>
        <w:t>Bei diesem Ausgang des Verfahrens wären die Kosten gemäss Art. 63 Abs. 1 VwVG den Beschwerdeführern aufzuerlegen.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