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E-4432/2017 vom 11. September 2017</w:t>
      </w:r>
    </w:p>
    <w:p>
      <w:r>
        <w:t>Bundesverwaltungsgericht, 2017-09-11, DE</w:t>
      </w:r>
    </w:p>
    <w:p>
      <w:r>
        <w:rPr>
          <w:b/>
        </w:rPr>
        <w:t xml:space="preserve">Quelle: </w:t>
      </w:r>
      <w:r>
        <w:t>https://mcp.opencaselaw.ch/entscheid/bvger_E-4432_2017</w:t>
      </w:r>
    </w:p>
    <w:p>
      <w:r>
        <w:t>FR: TAF E-4432/2017 du 11 septembre 2017</w:t>
      </w:r>
    </w:p>
    <w:p>
      <w:r>
        <w:t>IT: TAF E-4432/2017 del 11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vorinstanzliche Verfügung vom 7. Juli 2017 wurde dem Beschwerdeführer am 11. Juli 2017 eröffnet. Die Beschwerde datiert vom 9. August 2017. Somit ist die Beschwerde frist- sowie auch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kommt nach Prüfung der Akten zum Schluss, dass die angefochtene Verfügung des SEM vom 7. Juli 2017 bezüglich der einzelnen Erwägungen und im Ergebnis zu bestätigen ist. Die Vorinstanz hat gestützt auf eine sorgfältige Sachverhaltsabklärung, unter anderem durch Botschaftsabklärungen im Kosovo, und in einer ausführlich begründeten Verfügung, die sich mit den Vorbringen des Beschwerdeführers und den eingereichten Beweismitteln einlässlich auseinandersetzt, überzeugend aufgezeigt, dass es dem Beschwerdeführer im Rahmen seines Asylverfahrens nicht gelungen ist, eine flüchtlingsrelevante Verfolgungssituation nachzuweisen oder als überwiegend wahrscheinlich darzulegen.</w:t>
      </w:r>
    </w:p>
    <w:p>
      <w:r>
        <w:rPr>
          <w:b/>
        </w:rPr>
        <w:t>E. 5.2</w:t>
      </w:r>
    </w:p>
    <w:p>
      <w:r>
        <w:t>Vorab ist der Vorinstanz beizupflichten, dass die vom Beschwerdeführer geltend gemachte Gefängnishaft wegen des Gewaltdelikts glaubhaft dargelegt wurde, da hierzu insbesondere authentische Beweismittel (unter anderem Gerichtsurkunden) vorliegen. Indessen ist gestützt auf die Aktenlage und in Übereinstimmung mit den vorinstanzlichen Erwägungen ebenso festzuhalten, dass der Beschwerdeführer weder eine seitens der Opferfamilien drohende Blutrache noch eine Verfolgungsgefahr durch den Clan von C._______ hat glaubhaft machen können. Das Strafverfahren gegen den Beschwerdeführer wegen Tötung und Körperverletzung ist abgeschlossen, und er hat seine Strafe verbüsst. Das Gericht schliesst sich den Erwägungen der Vorinstanz an, dass aufgrund der Aktenlage und der Botschaftsauskünfte davon auszugehen ist, mit den Familien der Opfer habe eine Versöhnung stattgefunden. Zur Vermeidung von Wiederholungen kann diesbezüglich auf die ausführlichen Erwägungen in der Verfügung verwiesen werden. Ferner sind auch die Erwägungen der Vorinstanz zu bestätigen, dass eine angeblich seitens von C._______ drohende Verfolgung gegenüber dem Beschwerdeführer nicht glaubhaft gemacht worden ist. So bleibt bereits die angebliche Zugehörigkeit des Beschwerdeführers zu den FARK, die in Rivalität zur UÇK C._______ stünden, aufgrund der Botschaftserkenntnisse fraglich; mit der Einreichung einer angeblichen UÇK-Bestätigung (A37/5) setzt sich der Beschwerdeführer zu seinen bisherigen Angaben in Widerspruch; die Ausführungen, die FARK hätten sich von der UÇK abgespalten und der Beschwerdeführer sei Mitglied zunächst der einen, später der andern Gruppierung gewesen (Beschwerde S. 2, 5), vermögen nicht zu überzeugen (vgl. Rainer Mattern, Anschläge auf LDK- und FARK-Mitglieder in Kosovo, Gutachten der SFH-Länderanalyse, Bern, 1. März 2006, S. 3). Die vom SEM, gestützt auf die Botschaftsabklärungen, getroffenen Schlüsse, dass der Beschwerdeführer aufgrund seiner Rolle als einer von verschiedenen aus der Dorfbevölkerung stammenden Wächtern nicht zentral in den Machtkampf zwischen den Familien D._______ und C._______ verwickelt gewesen, sind sodann ebenfalls überzeugend; auch der Umstand, dass die Opfer der Schiesserei zufällig anwesende Privatpersonen ohne spezielle Beziehung zum C._______-Clan gewesen sind, spricht gegen eine Gefährdung des Beschwerdeführers durch C._______. Schliesslich sind auch die Erwägungen des SEM zu bestätigen, dass der Beschwerdeführer die angeblichen Verfolgungshandlungen (er sei während Jahren von Autos ohne Nummernschilder verfolgt worden) und das angebliche jahrelange Verstecktleben nicht glaubhaft hat darlegen können; dass vor dem Laden seines Bruders eine Handgranate zur Explosion gebracht wurde, ist zwar glaubhaft, indessen ist ein Zusammenhang zum Beschwerdeführer diesbezüglich nicht überwiegend wahrscheinlich.</w:t>
      </w:r>
    </w:p>
    <w:p>
      <w:r>
        <w:rPr>
          <w:b/>
        </w:rPr>
        <w:t>E. 5.3</w:t>
      </w:r>
    </w:p>
    <w:p>
      <w:r>
        <w:t>Zusammenfassend hat die Vorinstanz zu Recht die Flüchtlingseigenschaft verneint und das Asylgesuch des Beschwerdeführers abgelehnt. Mit dem blossen Wiederholen des aktenkundigen Sachverhalts, dem Festhalten an dessen Wahrheitsgehalt sowie der unsubstantiierten Relativierung der vom SEM vorgehaltenen Unstimmigkeiten legt er in der Rechtsmitteleingabe nicht überzeugend dar, inwiefern die Vorinstanz in diesem Punkt zu Unrecht auf Unglaubhaftigkeit geschlossen hat. Die weiteren Ausführungen betreffen lediglich die Fehde zwischen den beiden verfeindeten Familien, in welche der Beschwerdeführer wie vorstehend dargelegt nicht involviert gewesen sein kann. Mangels eines individuellen Bezugs zu der geltend gemachten Verfolgung sind folglich auch die mit der Beschwerde eingereichten Beweismittel (Medienberichte über C._______) nicht geeignet, eine Änderung des angefochtenen Entscheids herbeizuführen.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Insbesondere ist, wie oben erwähnt, eine angeblich drohende Blutrache respektive eine Rache seitens des C._______-Clans nicht glaubhaft gemacht worden.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zumal die Republik Kosovo seit dem 1. April 2009 ohnehin als verfolgungssicherer Staat im Sinne von Art. 6a Abs. 2 Bst. a AsylG gilt.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SEM hat in seiner ablehnenden Verfügung zutreffend festgehalten, dass aufgrund der in Kosovo herrschenden allgemeinen politischen Lage nichts gegen die Zumutbarkeit der Rückkehr spreche und auch nicht davon auszugehen sei, dass der Beschwerdeführer nach seiner Rückkehr in eine wirtschaftliche Notlage geraten könnte. Der Beschwerdeführer verfügt über ein tragfähiges verwandtschaftliches und soziales Beziehungsnetz in seiner Heimat und kann mit der Unterstützung seiner dort langjährig ansässigen Familienmitglieder rechnen, womit kein Anlass zur Annahme besteht, er würde durch den Wegweisungsvollzug einer existenzgefährdenden Situation ausgesetzt. Es ist angesichts der gegebenen Umstände davon auszugehen, dass dem Beschwerdeführer die Wiedereingliederung in seiner heimatlichen Umgebung gelingen wird. Schliesslich bleibt hinsichtlich der Drohung des Beschwerdeführers am Ende seiner Anhörung vom 9. November 2015, sich umzubringen, falls die Vollzugsbehörden ihn wieder nach Kosovo zurückschicken sollten (vgl. A10/18 S. 16 F153), festzuhalten, dass aufgrund der Aktenlage nicht auf eine ernsthafte Suizidgefährdung des Beschwerdeführers geschlossen werden kann. Der Beschwerdeführer hat im Laufe seines Asylverfahrens seit der besagten Suizidandrohung bis zum heutigen Zeitpunkt keine entsprechenden Absichten geäussert; es sind keine ärztlichen Berichte diesbezüglich aktenkundig. Vorliegend sprechen damit weder allgemeine noch individuelle Gründe gegen die Zumutbarkeit des Wegweisungsvollzuges. Der Vollzug der Wegweisung des Beschwerdeführers erweist sich somit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Das Gesuch um Gewährung der unentgeltlichen Prozessführung (Art. 65 Abs. 1 VwVG) ist abzuweisen, weil sich die Rechtsbegehren als aussichtslos erwiesen haben. Das Gesuch um Befreiung von der Kostenvorschusspflicht erweist sich mit dem vorliegenden Verfahrensabschluss als gegenstandslos.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