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E-4422/2015 vom 17. August 2016</w:t>
      </w:r>
    </w:p>
    <w:p>
      <w:r>
        <w:t>Bundesverwaltungsgericht, 2016-08-17, DE</w:t>
      </w:r>
    </w:p>
    <w:p>
      <w:r>
        <w:rPr>
          <w:b/>
        </w:rPr>
        <w:t xml:space="preserve">Quelle: </w:t>
      </w:r>
      <w:r>
        <w:t>https://mcp.opencaselaw.ch/entscheid/bvger_E-4422_2015</w:t>
      </w:r>
    </w:p>
    <w:p>
      <w:r>
        <w:t>FR: TAF E-4422/2015 du 17 août 2016</w:t>
      </w:r>
    </w:p>
    <w:p>
      <w:r>
        <w:t>IT: TAF E-4422/2015 del 17 agosto 2016</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einer zweiten Richterin beziehungsweise eines zweiten Richters (Art. 111 Bst. e AsylG) ohne Weiterungen und mit summarischer Begründung zu behandeln (Art. 111a Abs. 1 und 2 AsylG).</w:t>
      </w:r>
    </w:p>
    <w:p>
      <w:r>
        <w:rPr>
          <w:b/>
        </w:rPr>
        <w:t>E. 3.1</w:t>
      </w:r>
    </w:p>
    <w:p>
      <w:r>
        <w:t>Der Beschwerdeführer begründet seine Beschwerde zunächst damit, die Vorinstanz habe ihre Pflicht zur vollständigen und richtigen Prüfung der Asylgründe verletzt. Tatsächlich wird der Vorinstanz damit wohl eine unvollständige beziehungsweise fehlerhafte Feststellung des rechtserheblichen Sachverhalts vorgeworfen.</w:t>
      </w:r>
    </w:p>
    <w:p>
      <w:r>
        <w:rPr>
          <w:b/>
        </w:rPr>
        <w:t>E. 3.2</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w:t>
      </w:r>
    </w:p>
    <w:p>
      <w:r>
        <w:rPr>
          <w:b/>
        </w:rPr>
        <w:t>E. 3.3</w:t>
      </w:r>
    </w:p>
    <w:p>
      <w:r>
        <w:t>Entgegen den Ausführungen in der Beschwerde ergeben sich aus den Akten keinerlei Hinweise darauf, dass die Vorinstanz den Sachverhalt unrichtig beziehungsweise unvollständig festgestellt hätte. Sie hat die Vorbringen des Beschwerdeführers während der BzP und der Bundesanhörung in der angefochtenen Verfügung zutreffend zusammengefasst und den so ermittelten massgeblichen Sachverhalt der Prüfung der Flüchtlingseigenschaft des Beschwerdeführers zugrunde gelegt.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SEM begründet seine Verfügung im Asylpunkt im Wesentlichen mit der fehlenden Asylrelevanz der Vorbringen des Beschwerdeführers. In der Beschwerde wird dem entgegengehalten, die Vorinstanz habe sich mit der geltend gemachten Möglichkeit einer Zwangsrekrutierung durch das syrische Regime zu Unrecht nicht befasst, und darüber hinaus ausser Acht gelassen, dass die Verweigerung des Militärdienstes mit unverhältnismässigen Sanktionen bestraft werde. Zudem sei der Beschwerdeführer in Syrien zur Haft ausgeschrieben, weil ihm die Teilnahme an Protesten in Aleppo und Sabotage vorgeworfen werde. Ausserdem könne nicht ausgeschlossen werden, dass auch von der Partiya Yekitîya Demokrat (PYD) eine Verfolgung drohe, weil sich der Beschwerdeführer geweigert habe, deren Verteidigungsdienst zu unterstützen. Schliesslich sei auch eine Gefährdung durch den IS dokumentiert.</w:t>
      </w:r>
    </w:p>
    <w:p>
      <w:r>
        <w:rPr>
          <w:b/>
        </w:rPr>
        <w:t>E. 4.4</w:t>
      </w:r>
    </w:p>
    <w:p>
      <w:r>
        <w:t>Mit dem Grundsatzentscheid BVGE 2015/3 hat das Bundesverwaltungsgericht festgestellt, dass auch nach der Einführung von Art. 3 Abs. 3 AsylG die bisherige Rechtspraxis in Bezug auf Personen, die ihr Asylgesuch mit einer Wehrdienstverweigerung oder Desertion im Heimatstaat begründen, weiterhin Bestand hat. Eine Wehrdienstverweigerung oder Desertion für sich allein begründet die Flüchtlingseigenschaft demnach nicht; die Flüchtlingseigenschaft ist jedoch dann anzuerkennen, wenn die Wehrdienstverweigerung oder Desertion zu einer Verfolgung im Sinne von Art. 3 Abs. 1 AsylG führt. Den Akten lassen sich keine Anhaltspunkte für gezielte Verfolgungsmassnahmen der syrischen Behörden gegen den Beschwerdeführer vor seiner Ausreise entnehmen und es besteht kein Grund zur Annahme, dass er solche zu befürchten hätte, zumal er bei seiner Ausreise im Jahr 2014 erst 16 Jahre alt war. Es ist mithin nicht davon auszugehen, der Beschwerdeführer habe sich in Syrien der Wehrdienstverweigerung schuldig gemacht. Selbst wenn der Beschwerdeführer aber bereits eine Vorladung zur Einberufung zum Militärdienst erhalten hätte oder eine solche erhalten würde, könnte nach der Rechtsprechung des Bundesverwaltungsgerichts allein aus diesem Umstand nicht auf eine flüchtlingsrechtlich relevante Gefährdung geschlossen werden (vgl. Urteil des BVGer D-5018/2015 vom 26. Oktober 2015 E. 5.2). Vorliegend wurde der Beschwerdeführer noch nicht einmal gemustert.</w:t>
      </w:r>
    </w:p>
    <w:p>
      <w:r>
        <w:rPr>
          <w:b/>
        </w:rPr>
        <w:t>E. 4.5</w:t>
      </w:r>
    </w:p>
    <w:p>
      <w:r>
        <w:t>Aus den Akten wird ersichtlich, dass der Beschwerdeführer erst im vorliegenden Beschwerdeverfahren geltend gemacht hat, wegen regimekritischen Aktivitäten zur Haft ausgeschrieben worden zu sein. Allein der Umstand, dass der Beschwerdeführer in der BzP und der Bundesanhörung eine solche Bedrohung nicht einmal ansatzweise angedeutet hat, lässt an der Glaubhaftigkeit des Vorbringens zweifeln. Sowohl die BzP als auch die Bundesanhörung haben nämlich zu einem Zeitpunkt stattgefunden, als der Beschwerdeführer laut dem auf Beschwerdeebene eingereichten Mitteilungsprotokoll des syrischen Innengeheimdienstes bereits von einem Staatssicherheitsgericht zur Verhaftung ausgeschrieben war. Es wäre deshalb davon auszugehen gewesen, dass der Beschwerdeführer die drohende Verhaftung im Rahmen der Befragungen erwähnt hätte. Darüber hinaus stehen die diesbezüglichen Behauptungen des Beschwerdeführers in offensichtlichem Widerspruch zur Aussage in der BzP, er sei politisch nie aktiv gewesen und habe auch nie vor Gericht erscheinen müssen (vgl. Akten des Asylverfahrens, A4/12, F 7.02). Vor diesem Hintergrund ist dem auf Beschwerdeebene eingereichten angeblichen Mitteilungsprotokoll des syrischen Innengeheimdienstes vom 22. Juli 2014 jeder Beweiswert abzusprechen. Das Dokument ist darüber hinaus als Fälschung zu qualifizieren und als solche gestützt auf Art. 10 Abs. 4 AsylG einzuziehen.</w:t>
      </w:r>
    </w:p>
    <w:p>
      <w:r>
        <w:rPr>
          <w:b/>
        </w:rPr>
        <w:t>E. 4.6</w:t>
      </w:r>
    </w:p>
    <w:p>
      <w:r>
        <w:t>Schliesslich vermag der Beschwerdeführer auch auf Beschwerdeebene keine asylrelevante Verfolgung durch den IS glaubhaft zu machen. Die in den Anhörungen geschilderten Anwerbungsversuche für den bewaffneten Kampf erreichen die Schwelle asylrelevanter Nachteile offensichtlich nicht, zumal der Beschwerdeführer ausgeführt hat, der IS habe keinen Zwang ausgeübt, sondern ihn lediglich mit finanziellen Anreizen zu motivieren versucht (vgl. Akten des Asylverfahrens, A13/10, F 29). Die auf Beschwerdeebene eingereichte Vorladung eines Gerichts des IS hat keinen Beweiswert, zumal der Beschwerdeführer nie geltend gemacht hat, gegen Vorschriften des IS verstossen zu haben. Ausserdem erklärt der Beschwerdeführer nicht, wie er in den Besitz des Dokuments gekommen sein will. Angesichts des Umstands, dass sich zum angeblichen Ausstellungszeitpunkt des Dokuments am 1. Juli 2015 mit einer Ausnahme alle Familienmitglieder des Beschwerdeführers im Ausland befunden haben (vgl. Akten des Asylverfahrens, A13/10, F 12-18, über den Verbleib der ältesten Schwester hatte der Beschwerdeführer keine Kenntnis), mithin keine Möglichkeit besteht, dass eine echte Vorladung in den Besitz des Beschwerdeführers gelangt wäre, drängt sich der Schluss auf, dass es sich auch bei diesem Dokument um eine Fälschung handelt. Die Vorladung ist deshalb gestützt auf Art. 10 Abs. 4 AsylG ebenfalls einzuziehen.</w:t>
      </w:r>
    </w:p>
    <w:p>
      <w:r>
        <w:rPr>
          <w:b/>
        </w:rPr>
        <w:t>E. 4.7</w:t>
      </w:r>
    </w:p>
    <w:p>
      <w:r>
        <w:t>Zusammengefasst ergibt sich, dass die Vorinstanz die Flüchtlingseigenschaft des Beschwerdeführers zu Recht verneint und sein Asylgesuch abgewiesen hat.</w:t>
      </w:r>
    </w:p>
    <w:p>
      <w:r>
        <w:rPr>
          <w:b/>
        </w:rPr>
        <w:t>E. 5</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w:t>
      </w:r>
    </w:p>
    <w:p>
      <w:r>
        <w:t>Aus den vorangegangenen Erwägungen kann nicht geschlossen werden, der Beschwerdeführer sei angesichts der aktuellen Lage in Syrien dort nicht gefährdet. Eine solche Gefährdung ist aber nur unter dem Aspekt von Art. 83 Abs. 3 oder 4 AuG (SR 142.20) zu prüfen, wonach der Wegweisungsvollzug für ausländische Personen nicht zulässig ist, wenn völkerrechtliche Verpflichtungen der Schweiz einer Weiterreise in den Heimat-, Herkunfts- oder in einen Drittstaat entgegenstehen, beziehungsweise unzumutbar sein kann, wenn sie im Heimat- oder Herkunftsstaat aufgrund von Situationen wie Krieg, Bürgerkrieg, allgemeiner Gewalt und medizinischer Notlage konkret gefährdet sind. Der Gefährdung des Beschwerdeführers aufgrund der aktuellen Situation in Syrien wurde durch das SEM mit der Anordnung ihrer vorläufigen Aufnahme wegen Unzumutbarkeit des Wegweisungsvollzugs Rechnung getragen.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Die gestellten Begehren erweisen sich als aussichtslos, weshalb das Gesuch um unentgeltliche Rechtspflege ungeachtet einer allfälligen prozessualen Bedürftigkeit abzuweisen ist (Art. 65 Abs. 1 VwVG und Art. 110a Abs. 1 Bst. a AsylG).</w:t>
      </w:r>
    </w:p>
    <w:p>
      <w:r>
        <w:rPr>
          <w:b/>
        </w:rPr>
        <w:t>E. 8.2</w:t>
      </w:r>
    </w:p>
    <w:p>
      <w:r>
        <w:t>Bei diesem Ausgang des Verfahrens sind dessen Kosten vollumfänglich dem Beschwerdeführer aufzuerlegen (Art. 63 Abs. 1 VwVG). Die Gerichtsgebühr ist auf Fr. 600.- festzusetzen (Art. 1-3 des Reglements vom 21. Februar 2008 über die Kosten und Entschädigungen vor dem Bundesverwaltungsgericht [VGKE, SR 172.320.2]).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