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E-4420/2016 vom 15. August 2016</w:t>
      </w:r>
    </w:p>
    <w:p>
      <w:r>
        <w:t>Bundesverwaltungsgericht, 2016-08-15, DE</w:t>
      </w:r>
    </w:p>
    <w:p>
      <w:r>
        <w:rPr>
          <w:b/>
        </w:rPr>
        <w:t xml:space="preserve">Quelle: </w:t>
      </w:r>
      <w:r>
        <w:t>https://mcp.opencaselaw.ch/entscheid/bvger_E-4420_2016</w:t>
      </w:r>
    </w:p>
    <w:p>
      <w:r>
        <w:t>FR: TAF E-4420/2016 du 15 août 2016</w:t>
      </w:r>
    </w:p>
    <w:p>
      <w:r>
        <w:t>IT: TAF E-4420/2016 del 15 agosto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rügt eine Verletzung der Ausstandspflicht. Formell-rechtlich sei über ein Ausstandsbegehren mit selbstständig anfechtbarer Zwischenverfügung zu entscheiden. Materiell-rechtlich stützt er sich auf den Ausstandsgrund der Befangenheit und bringt vor, der Sachbearbeiter habe bei der Befragung eine neutrale Haltung vermissen lassen, weshalb das Recht auf ein faires Verfahren verletzt sei.</w:t>
      </w:r>
    </w:p>
    <w:p>
      <w:r>
        <w:rPr>
          <w:b/>
        </w:rPr>
        <w:t>E. 3.2</w:t>
      </w:r>
    </w:p>
    <w:p>
      <w:r>
        <w:t>Gemäss Art. 10 Abs. 1 VwVG treten Personen, die eine Verfügung zu treffen oder vorzubereiten haben, in den Ausstand, wenn sie aus anderen Gründen - als persönliches Interesse in der Sache (Bst. a), Ehe, Partnerschaft, Lebensgemeinschaft (Bst. b), Verwandtschaft oder Verschwägerung (Bst. bbis) oder Vertreter einer Partei (Bst. c) - in der Sache befangen sein könnten (Bst. d). Art. 10 Abs. 2 VwVG bestimmt, dass die Aufsichtsbehörde oder die Kollegialbehörde unter Ausschluss des betreffenden Mitglieds entscheidet, wenn der Ausstand streitig ist. Die Bestimmung enthält ebenso wenig eine Vorschrift für die Entscheidungsform wie Art. 45 VwVG, wonach gegen selbstständig eröffnete Zwischenverfügungen über Ausstandsbegehren die Beschwerde zulässig ist (Abs. 1) und diese Verfügungen später nicht mehr angefochten werden können (Abs. 2). Aus dieser Bestimmung ergibt sich nur, dass eine Zwischenverfügung über das Ausstandsbegehren unter Verwirkungslast angefochten werden muss, wenn eine selbstständig eröffnete Zwischenverfügung erlassen wird (Uhlmann/Wälle-Bär in: Praxiskommentar Verwaltungsverfahrensgesetz, 2016, Art. 45 N 18 S. 922: "sofern sie selbständig eröffnet wurde"). Zwar ist es sinnvoll, über ein Ausstandsbegehren sofort zu entscheiden, weil die Behörde sonst Gefahr läuft, dass auch der Endentscheid aufgehoben wird (vgl. BGE 132 V 93 E. 6.2), doch das Gesetz gibt keinen Anspruch auf Erlass einer selbstständig eröffneten Zwischenverfügung über Ausstandsbegehren. Das stimmt mit dem Grundsatz überein, dass die Verfahrensleitung Sache der Behörden ist. Kommt hinzu, dass im Testphasenbetrieb dem Beschleunigungsgebot ein besonders grosses Gewicht zukommt und die Partei keinen Nachteil erleidet, wenn sie den Ausstandentscheid zusammen mit dem Endentscheid anficht. Entgegen der Beschwerde haben die direkten Vorgesetzten über den Ausstand entschieden, was auch nicht zu beanstanden ist (Breitenmoser/Fedail a. a. O. Art. 10 N 115 S. 217).</w:t>
      </w:r>
    </w:p>
    <w:p>
      <w:r>
        <w:rPr>
          <w:b/>
        </w:rPr>
        <w:t>E. 3.3</w:t>
      </w:r>
    </w:p>
    <w:p>
      <w:r>
        <w:t>Nach Art. 29 Abs. 1 BV sind Amtspersonen zum Ausstand verpflichtet, wenn Umstände vorliegen, die nach objektiven Gesichtspunkten geeignet sind, den Anschein der Befangenheit zu erwecken (BGE 127 I 196 E. 2b); auf die subjektive Empfindung einer Partei ist nicht abzustellen (BGE 140 III 221 E. 4.1). Bei Ausstandsbegehren gegen Verwaltungsbehörden ist freilich den jeweiligen konkreten Verhältnissen in besonderem Masse Rechnung zu tragen (BGE 125 I 209 E. 8a).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(Urteil des BGer 2C_36/2010 vom 14. Juni 2010 E. 3.3 mit zahlreichen Hinweisen). Der Beschwerdeführer bringt vor, die Haltung des Sachbearbeiters sei von Anfang an von grossem Misstrauen geprägt. Er habe Zweifel geäussert, Aussagen für nicht plausibel gehalten und sei misstrauisch gewesen. Nach der Mittagspause habe er die Möglichkeit gegeben, Fragen zu stellen, was für die Rechtsvertretung überraschend gewesen sei. Die Akten enthalten indes keine Anhaltspunkte für die Annahme, der Sachbearbeiter habe jemals seine Geringschätzung oder Abneigung zum Ausdruck gebracht. Eine konkrete Aussage für eine solche Annahme vermag denn auch der Beschwerdeführer nicht zu nennen. Art und Aufbau der Befragung sind ebenfalls nicht zu beanstanden. Sie lassen den Schluss nicht zu, dem Sachbearbeiter seien Verfahrens- oder Ermessensfehler unterlaufen, und schon gar nicht auf eine Amtspflichtverletzung. Damit liegen keine Umstände vor, die objektiv geeignet wären, den Anschein der Befangenheit zu erwecken. Die Rüge ist unbegründet, weshalb offen bleiben kann, ob das Ausstandsbegehren allenfalls zu spät gestellt wurde.</w:t>
      </w:r>
    </w:p>
    <w:p>
      <w:r>
        <w:rPr>
          <w:b/>
        </w:rPr>
        <w:t>E. 4.1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4.2</w:t>
      </w:r>
    </w:p>
    <w:p>
      <w:r>
        <w:t>Der Bundesrat bezeichnet Staaten, in denen Sicherheit vor Verfolgung besteht, als sichere Heimat- oder Herkunftsstaaten (Art. 6a Abs. 2 Bst. a AsylG).</w:t>
      </w:r>
    </w:p>
    <w:p>
      <w:r>
        <w:rPr>
          <w:b/>
        </w:rPr>
        <w:t>E. 4.3</w:t>
      </w:r>
    </w:p>
    <w:p>
      <w:r>
        <w:t>Die Vorinstanz geht zutreffend von fehlender Asylrelevanz aus. Die Beschwerde zeigt nicht auf, inwiefern die angefochtene Verfügung Bundesrecht verletzen oder den Sachverhalt fehlerhaft feststellen soll. Solches ist auch nicht ersichtlich. So hat die Vorinstanz richtig erkannt, dass Serbien seit dem Beschluss vom 6. März 2009 (in Kraft seit 1. April 2009) zu den verfolgungssicheren Ländern (sog. "Safe Country") gehört. Insofern gilt die Regelvermutung, dass in Serbien keine asylrelevante staatliche Verfolgung stattfindet und Schutz vor nichtstaatlicher Verfolgung gewährleistet ist, womit sich weitere Abklärungen grundsätzlich erübrigen (Art. 40 AsylG i. V. m. Art. 6a Abs. 2 Bst. a AsylG). Sodann wird in der Verfügung einlässlich dargelegt, dass und weshalb die Aussagen des Beschwerdeführers überwiegend unglaubhaft ausgefallen sind. Um Wiederholungen zu vermeiden, ist auf die Ausführungen der Vorinstanz zu verweisen. Sie hat den Sachverhalt korrekt festgestellt. Schliesslich wird in der Beschwerde zur Hauptfrage lediglich erklärt, es sei "gut vorstellbar", dass der Beschwerdeführer aufgrund seiner Spitzeltätigkeiten nicht einfach so zur Polizei habe gehen können (Beschwerde S. 9). Diese Erklärung genügt indes nicht, um die Regelvermutung umzustossen beziehungsweise eine asylrelevante Verfolgung in einem "Safe Country" zu begründen. Ferner ist sie unvereinbar mit der Erklärung anlässlich der Befragung, er habe die Polizei nicht kontaktiert, weil diese in Serbien erst einschreite, wenn bereits etwas passiert sei (SEM-Akten, A20, S. 18). Im Übrigen will der Beschwerdeführer Informationen für "den Staat" gesammelt haben, der folglich erst recht schutzwillig sein sollte (z. B. SEM-Akten, A20, S. 18). Schliesslich kann er nicht plausibel erklären, weshalb er trotz der angeblichen Gefahr und Angst Serbien nicht unverzüglich verlassen hat (SEM-Akten, A20, S. 18). Um Wiederholungen zu vermeiden ist auch an dieser Stelle auf die zutreffenden Ausführungen der Vorinstanz zu verwiesen, die zu Recht das Asylgesuch abgelehnt hat.</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Es sind den Akten und der Rechtsmitteleingabe keine Anhaltspunkte zu entnehmen, die einen anderen Schluss in Bezug auf die verfügte Wegweisung zuliessen. Die Vorinstanz hat zutreffend die Wegweisung nach Serbien geprüft und kommt folgerichtig zum Schluss, dass der Vollzug der Wegweisung im vorliegenden Fall zulässig, zumutbar und möglich ist. Es ist auch in Bezug auf die medizinischen Beschwerden der Vorinstanz beizupflichten, dass der Beschwerdeführer im Heimatstaat bereits Zugang zu den notwendigen medizinischen Einrichtungen und zu adäquater Behandlung hatte und auch haben wird. Etwas anderes ist der Beschwerde auch nicht zu entnehmen. Die Anordnung einer vorläufigen Aufnahme fällt ausser Betracht (Art. 83 Abs. 1 AuG).</w:t>
      </w:r>
    </w:p>
    <w:p>
      <w:r>
        <w:rPr>
          <w:b/>
        </w:rPr>
        <w:t>E. 6</w:t>
      </w:r>
    </w:p>
    <w:p>
      <w:r>
        <w:t>Aus diesen Erwägungen ergibt sich, dass die angefochtene Verfügung Bundesrecht nicht verletzt und auch sonst nicht zu beanstanden ist (Art. 106 AsylG und Art. 49 VwVG).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