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E-4419/2015 vom 25. August 2015</w:t>
      </w:r>
    </w:p>
    <w:p>
      <w:r>
        <w:t>Bundesverwaltungsgericht, 2015-08-25, FR</w:t>
      </w:r>
    </w:p>
    <w:p>
      <w:r>
        <w:rPr>
          <w:b/>
        </w:rPr>
        <w:t xml:space="preserve">Quelle: </w:t>
      </w:r>
      <w:r>
        <w:t>https://mcp.opencaselaw.ch/entscheid/bvger_E-4419_2015</w:t>
      </w:r>
    </w:p>
    <w:p>
      <w:r>
        <w:t>FR: TAF E-4419/2015 du 25 août 2015</w:t>
      </w:r>
    </w:p>
    <w:p>
      <w:r>
        <w:t>IT: TAF E-4419/2015 del 25 agosto 2015</w:t>
      </w:r>
    </w:p>
    <w:p>
      <w:pPr>
        <w:pStyle w:val="Heading2"/>
      </w:pPr>
      <w:r>
        <w:t>Regeste</w:t>
      </w:r>
    </w:p>
    <w:p>
      <w:r>
        <w:t>Demande d'asile présentée à l'étranger et autorisation d'entrée</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dans leur ancienne teneur (ci-après : aLAsi).</w:t>
      </w:r>
    </w:p>
    <w:p>
      <w:r>
        <w:rPr>
          <w:b/>
        </w:rPr>
        <w:t>E. 2.2.1</w:t>
      </w:r>
    </w:p>
    <w:p>
      <w:r>
        <w:t>Selon l'art. 20 al. 2 aLAsi,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(cf. art. 52 al. 2 aLAsi), l'autorité est légitimée à rendre une décision matérielle négative rejetant la demande d'asile (cf. ATAF 2011/10 consid. 3.2). Les conditions permettant l'octroi d'une autorisation d'entrée doivent être admises restrictivement, raison pour laquelle l'autorité dispose à cet égard d'une marge d'appréciation étendue.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 ; JICRA 2005 n° 19 consid. 4.3 p. 174 s).</w:t>
      </w:r>
    </w:p>
    <w:p>
      <w:r>
        <w:rPr>
          <w:b/>
        </w:rPr>
        <w:t>E. 2.3</w:t>
      </w:r>
    </w:p>
    <w:p>
      <w:r>
        <w:t>Lors d'une procédure à l'étranger, la représentation suisse procède en général, en vertu de l'ancien art. 10 de l'ordonnance 1 du 11 août 1999 sur l'asile relative à la procédure (OA 1, RS 142.311), à l'audition du requérant d'asile, à moins que cela ne soit impossible. Elle transmet à l'office la demande d'asile accompagnée d'un rapport (cf. art. 20 al. 1 aLAsi). En outre, elle transmet à l'ODM (aujourd'hui : le SEM) le procès-verbal de l'audition ou la demande d'asile écrite, ainsi que tous les autres documents utiles et un rapport complémentaire dans lequel elle se prononce sur la requête.</w:t>
      </w:r>
    </w:p>
    <w:p>
      <w:r>
        <w:rPr>
          <w:b/>
        </w:rPr>
        <w:t>E. 3.1</w:t>
      </w:r>
    </w:p>
    <w:p>
      <w:r>
        <w:t>En l'occurrence, la procédure prévue par les dispositions précitées a été respectée. La recourante, ainsi que ses fils, ont étés entendus par l'ambassade et cette dernière a, consécutivement, fait suivre au SEM les procès-verbaux des auditions des intéressés, avec ses rapports y relatifs.</w:t>
      </w:r>
    </w:p>
    <w:p>
      <w:r>
        <w:rPr>
          <w:b/>
        </w:rPr>
        <w:t>E. 3.2</w:t>
      </w:r>
    </w:p>
    <w:p>
      <w:r>
        <w:t>S'agissant de l'enlèvement de son mari par les LTTE, du séjour de celui-ci dans leurs camps, entre septembre 2004 et décembre 2007, de la détention policière dont il aurait fait l'objet à son retour et de sa nouvelle disparition en octobre 2008, la recourante a déposé plusieurs moyens de preuve prouvant, tout au moins, les propres démarches qu'elle avait accomplies auprès de divers organismes à la suite de ces événements. Ces faits s'inscrivent dans le contexte politique de l'époque, tout comme la visite alléguée à son domicile d'agents du CID après le second enlèvement de son mari. Dans la mesure où il aurait été connu des services de police pour avoir séjourné dans un camp des LTTE, il n'est en effet pas impossible qu'à ce moment-là, les autorités l'aient soupçonné d'avoir des activités pour les rebelles. En revanche, la recourante n'a pas fait valoir que les autorités auraient, à l'époque, découvert lors de la perquisition à son domicile des indices de nature à étayer leurs soupçons et à entraîner, pour elle ou ses enfants, un risque de sérieux préjudices. Par ailleurs et surtout, ces faits remontent à plus de six ans et la situation à prendre en compte pour apprécier le besoin de protection des intéressés et celle qui prévaut actuellement.</w:t>
      </w:r>
    </w:p>
    <w:p>
      <w:r>
        <w:rPr>
          <w:b/>
        </w:rPr>
        <w:t>E. 3.3</w:t>
      </w:r>
    </w:p>
    <w:p>
      <w:r>
        <w:t>Dans son écrit du 16 novembre 2009, la recourante a mentionné que des inconnus avaient tenté d'enrôler son fils et qu'ils avaient également essayé de leur soutirer de l'argent. Ses allégués à ce sujet manquaient de précision et les déclarations de son fils C._______ à l'ambassade sont également demeurées vagues s'agissant des individus qui le menaçaient et l'auraient même battu et de leurs intentions. Les intéressés n'ont ainsi pas rendu vraisemblable qu'il ne s'agissait pas purement d'actes crapuleux et que ces agissements revêtaient un caractère politique, déterminant pour la reconnaissance de la qualité de réfugié. Quoi qu'il en soit, ces faits remontent également à l'année 2009, avant le départ au (...nom du pays]) de C._______, et ne sauraient constituer la preuve d'un besoin actuel de protection, déterminant au regard de l'art. 3 LAsi.</w:t>
      </w:r>
    </w:p>
    <w:p>
      <w:r>
        <w:rPr>
          <w:b/>
        </w:rPr>
        <w:t>E. 3.4</w:t>
      </w:r>
    </w:p>
    <w:p>
      <w:r>
        <w:t>Lors de son audition à l'ambassade, la recourante a clairement déclaré qu'elle ne faisait plus face à des problèmes comparables à ceux rencontrés dans le passé, mais qu'elle craignait que quelque chose arrive à ses fils (cf. procès-verbal de l'audition p. 4). Cette peur, subjective, ne saurait, en soi, démontrer un besoin actuel de protection. A cet égard, sont seuls pertinents des faits constituant des indices que la personne a des raisons objectivement fondées de craindre de subir des préjudices déterminants en matière d'asile. Or, la recourante n'a aucunement établi l'existence de tels indices. Les déclarations de ses fils ne comportent pas non plus d'éléments significatifs au regard de l'art. 3 LAsi. C._______ a fait état d'une agression subie en 2013 de la part de personnes prises en charge dans le cadre de son activité de chauffeur et qui l'auraient sévèrement battu. Ses propos à ce sujet sont très vagues et ne contiennent pas de précisions de nature à amener à la conviction que cet incident serait déterminant pour la reconnaissance de la qualité de réfugié. Au contraire, il a clairement déclaré qu'il ne savait pas qui étaient ces individus et que cela n'avait pas nourri chez lui une crainte particulière de revenir au Sri Lanka pour des vacances au début 2015 (cf. pv de son audition à l'ambassade p. 3). Enfin, les déclarations de B._______ lors de son audition à l'ambassade ne font pas, elles non plus, ressortir un besoin actuel de protection contre des persécutions au sens de l'art. 3 LAsi. Celui-ci n'a pas fait état de récents incidents. La seule menace concrète dont il a parlé est celle qui proviendrait d'un ancien collègue de travail et qui remontrerait à une période non précisée mais en tout cas antérieure à son départ en (... [pays étranger]), en juillet 2014. En outre, ses propos à ce sujet son vagues et ne contiennent aucun indice que cette personne s'en serait prise à lui un des motifs énumérés à l'art. 3 LAsi. En tout état de cause, les menaces n'étaient pas sérieuses au point de l'empêcher de revenir dans son pays d'origine, de sorte qu'elles ne sauraient démontrer un besoin actuel de protection contre des préjudices imminents.</w:t>
      </w:r>
    </w:p>
    <w:p>
      <w:r>
        <w:rPr>
          <w:b/>
        </w:rPr>
        <w:t>E. 3.5</w:t>
      </w:r>
    </w:p>
    <w:p>
      <w:r>
        <w:t>Au stade du recours, la recourante a fait valoir qu'elle continuait à vivre dans l'angoisse pour ses fils depuis la dernière élection présidentielle. Aucun élément au dossier ne rend toutefois vraisemblable que cette crainte serait objectivement fondée. Le mari de la recourante a disparu depuis plusieurs années et celle-ci a, dans plusieurs courriers, laissé entendre qu'elle avait toutes les raisons de penser qu'il n'était plus en vie. En tout cas, elle n'a aucunement allégué que les autorités surveilleraient encore aujourd'hui sa famille. Comme l'a relevé le SEM, le fait qu'elle et son fils aient obtenu un passeport en 2009, respectivement 2010, constitue également un signe qu'ils n'étaient pas personnellement soupçonnés par les autorités sri-lankaises. Les autorités en place au Sri Lanka continuent apparemment d'exercer une surveillance serrée, en particulier des anciens membres présumés ou avérés des LTTE, notamment des personnes libérées des camps de réhabilitation, voire de leurs familles (cf. Adrian SCHUSTER, Organisation Suisse d'Aide aux Réfugiés [OSAR], Sri Lanka : Dangers relatifs au renvoi de personnes d'origine tamoule, Berne, 16 juin 2015, en partic. p. 6). Cependant, rien n'indique qu'elles aient eu des motifs de surveiller la recourante et ses fils.</w:t>
      </w:r>
    </w:p>
    <w:p>
      <w:r>
        <w:rPr>
          <w:b/>
        </w:rPr>
        <w:t>E. 3.6</w:t>
      </w:r>
    </w:p>
    <w:p>
      <w:r>
        <w:t>En définitive, le SEM a retenu à bon droit que les intéressés n'avaient pas rendu vraisemblable l'existence d'un besoin actuel de protection contre des préjudices au sens de l'art. 3 LAsi.</w:t>
      </w:r>
    </w:p>
    <w:p>
      <w:r>
        <w:rPr>
          <w:b/>
        </w:rPr>
        <w:t>E. 4</w:t>
      </w:r>
    </w:p>
    <w:p>
      <w:r>
        <w:t>Au vu de ce qui précède, la décision attaquée doit être confirmée tant en ce qui concerne le rejet de la demande d'asile que le refus de l'autorisation d'entrée en Suisse. Partant, le recours doit être rejeté.</w:t>
      </w:r>
    </w:p>
    <w:p>
      <w:r>
        <w:rPr>
          <w:b/>
        </w:rPr>
        <w:t>E. 5.1</w:t>
      </w:r>
    </w:p>
    <w:p>
      <w:r>
        <w:t>Vu l'issue de la procédure, les frais devraient être mis à la charge des recourants (cf. art. 63 al. 1 PA).</w:t>
      </w:r>
    </w:p>
    <w:p>
      <w:r>
        <w:rPr>
          <w:b/>
        </w:rPr>
        <w:t>E. 5.2</w:t>
      </w:r>
    </w:p>
    <w:p>
      <w:r>
        <w:t>Il est toutefois renoncé à leur perception en raison des circonstances particulières du cas d'espèce (cf. art. 6 let. b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